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AF" w:rsidRDefault="007669AF">
      <w:pPr>
        <w:tabs>
          <w:tab w:val="left" w:pos="7224"/>
        </w:tabs>
        <w:suppressAutoHyphens/>
        <w:spacing w:after="0" w:line="240" w:lineRule="auto"/>
        <w:rPr>
          <w:rFonts w:ascii="Times New Roman" w:hAnsi="Times New Roman"/>
          <w:sz w:val="28"/>
          <w:u w:val="single"/>
        </w:rPr>
      </w:pPr>
      <w:r>
        <w:rPr>
          <w:rFonts w:ascii="Times New Roman" w:hAnsi="Times New Roman"/>
          <w:sz w:val="28"/>
        </w:rPr>
        <w:tab/>
      </w:r>
      <w:r>
        <w:rPr>
          <w:rFonts w:ascii="Times New Roman" w:hAnsi="Times New Roman"/>
          <w:sz w:val="28"/>
          <w:u w:val="single"/>
        </w:rPr>
        <w:t>ПРОЕКТ</w:t>
      </w:r>
    </w:p>
    <w:p w:rsidR="007669AF" w:rsidRDefault="007669AF">
      <w:pPr>
        <w:tabs>
          <w:tab w:val="left" w:pos="7224"/>
        </w:tabs>
        <w:suppressAutoHyphens/>
        <w:spacing w:after="0" w:line="240" w:lineRule="auto"/>
        <w:jc w:val="center"/>
        <w:rPr>
          <w:rFonts w:ascii="Times New Roman" w:hAnsi="Times New Roman"/>
          <w:b/>
          <w:sz w:val="28"/>
        </w:rPr>
      </w:pPr>
    </w:p>
    <w:p w:rsidR="007669AF" w:rsidRDefault="007669AF">
      <w:pPr>
        <w:tabs>
          <w:tab w:val="left" w:pos="7224"/>
        </w:tabs>
        <w:suppressAutoHyphens/>
        <w:spacing w:after="0" w:line="240" w:lineRule="auto"/>
        <w:jc w:val="center"/>
        <w:rPr>
          <w:rFonts w:ascii="Times New Roman" w:hAnsi="Times New Roman"/>
          <w:b/>
          <w:sz w:val="28"/>
        </w:rPr>
      </w:pPr>
      <w:r>
        <w:rPr>
          <w:rFonts w:ascii="Times New Roman" w:hAnsi="Times New Roman"/>
          <w:b/>
          <w:sz w:val="28"/>
        </w:rPr>
        <w:t>ПРАВИТЕЛЬСТВО БРЯНСКОЙ ОБЛАСТИ</w:t>
      </w:r>
    </w:p>
    <w:p w:rsidR="007669AF" w:rsidRDefault="007669AF">
      <w:pPr>
        <w:tabs>
          <w:tab w:val="left" w:pos="7224"/>
        </w:tabs>
        <w:suppressAutoHyphens/>
        <w:spacing w:after="0" w:line="240" w:lineRule="auto"/>
        <w:jc w:val="center"/>
        <w:rPr>
          <w:rFonts w:ascii="Times New Roman" w:hAnsi="Times New Roman"/>
          <w:b/>
          <w:sz w:val="28"/>
        </w:rPr>
      </w:pPr>
    </w:p>
    <w:p w:rsidR="007669AF" w:rsidRDefault="007669AF">
      <w:pPr>
        <w:tabs>
          <w:tab w:val="left" w:pos="7224"/>
        </w:tabs>
        <w:suppressAutoHyphens/>
        <w:spacing w:after="0" w:line="240" w:lineRule="auto"/>
        <w:jc w:val="center"/>
        <w:rPr>
          <w:rFonts w:ascii="Times New Roman" w:hAnsi="Times New Roman"/>
          <w:b/>
          <w:sz w:val="28"/>
        </w:rPr>
      </w:pPr>
      <w:r>
        <w:rPr>
          <w:rFonts w:ascii="Times New Roman" w:hAnsi="Times New Roman"/>
          <w:b/>
          <w:sz w:val="28"/>
        </w:rPr>
        <w:t>ПОСТАНОВЛЕНИЕ</w:t>
      </w:r>
    </w:p>
    <w:p w:rsidR="007669AF" w:rsidRDefault="007669AF">
      <w:pPr>
        <w:suppressAutoHyphens/>
        <w:spacing w:after="0" w:line="240" w:lineRule="auto"/>
        <w:ind w:firstLine="708"/>
        <w:rPr>
          <w:rFonts w:ascii="Times New Roman" w:hAnsi="Times New Roman"/>
          <w:sz w:val="28"/>
        </w:rPr>
      </w:pPr>
    </w:p>
    <w:p w:rsidR="007669AF" w:rsidRDefault="007669AF" w:rsidP="00A873F2">
      <w:pPr>
        <w:suppressAutoHyphens/>
        <w:spacing w:after="0" w:line="240" w:lineRule="auto"/>
        <w:rPr>
          <w:rFonts w:ascii="Times New Roman" w:hAnsi="Times New Roman"/>
          <w:sz w:val="28"/>
        </w:rPr>
      </w:pPr>
    </w:p>
    <w:p w:rsidR="007669AF" w:rsidRDefault="007669AF" w:rsidP="00A873F2">
      <w:pPr>
        <w:suppressAutoHyphens/>
        <w:spacing w:after="0" w:line="240" w:lineRule="auto"/>
        <w:rPr>
          <w:rFonts w:ascii="Times New Roman" w:hAnsi="Times New Roman"/>
          <w:sz w:val="28"/>
        </w:rPr>
      </w:pPr>
    </w:p>
    <w:p w:rsidR="007669AF" w:rsidRDefault="007669AF" w:rsidP="00A873F2">
      <w:pPr>
        <w:suppressAutoHyphens/>
        <w:spacing w:after="0" w:line="240" w:lineRule="auto"/>
        <w:rPr>
          <w:rFonts w:ascii="Times New Roman" w:hAnsi="Times New Roman"/>
          <w:sz w:val="28"/>
        </w:rPr>
      </w:pPr>
    </w:p>
    <w:p w:rsidR="007669AF" w:rsidRDefault="007669AF" w:rsidP="00A873F2">
      <w:pPr>
        <w:suppressAutoHyphens/>
        <w:spacing w:after="0" w:line="240" w:lineRule="auto"/>
        <w:rPr>
          <w:rFonts w:ascii="Times New Roman" w:hAnsi="Times New Roman"/>
          <w:sz w:val="28"/>
        </w:rPr>
      </w:pPr>
    </w:p>
    <w:p w:rsidR="007669AF" w:rsidRDefault="007669AF" w:rsidP="00A873F2">
      <w:pPr>
        <w:suppressAutoHyphens/>
        <w:spacing w:after="0" w:line="240" w:lineRule="auto"/>
        <w:rPr>
          <w:rFonts w:ascii="Times New Roman" w:hAnsi="Times New Roman"/>
          <w:sz w:val="28"/>
        </w:rPr>
      </w:pPr>
      <w:r>
        <w:rPr>
          <w:rFonts w:ascii="Times New Roman" w:hAnsi="Times New Roman"/>
          <w:sz w:val="28"/>
        </w:rPr>
        <w:t xml:space="preserve">от                      №                                                                       </w:t>
      </w:r>
    </w:p>
    <w:p w:rsidR="007669AF" w:rsidRDefault="007669AF" w:rsidP="00A873F2">
      <w:pPr>
        <w:suppressAutoHyphens/>
        <w:spacing w:after="0" w:line="240" w:lineRule="auto"/>
        <w:rPr>
          <w:rFonts w:ascii="Times New Roman" w:hAnsi="Times New Roman"/>
          <w:sz w:val="28"/>
        </w:rPr>
      </w:pPr>
      <w:r>
        <w:rPr>
          <w:rFonts w:ascii="Times New Roman" w:hAnsi="Times New Roman"/>
          <w:sz w:val="28"/>
        </w:rPr>
        <w:t>г.Брянск</w:t>
      </w:r>
    </w:p>
    <w:p w:rsidR="007669AF" w:rsidRDefault="007669AF">
      <w:pPr>
        <w:suppressAutoHyphens/>
        <w:spacing w:after="0" w:line="240" w:lineRule="auto"/>
        <w:ind w:firstLine="708"/>
        <w:rPr>
          <w:rFonts w:ascii="Times New Roman" w:hAnsi="Times New Roman"/>
          <w:sz w:val="28"/>
        </w:rPr>
      </w:pPr>
    </w:p>
    <w:p w:rsidR="007669AF" w:rsidRDefault="007669AF">
      <w:pPr>
        <w:suppressAutoHyphens/>
        <w:spacing w:after="0" w:line="240" w:lineRule="auto"/>
        <w:jc w:val="center"/>
        <w:rPr>
          <w:rFonts w:ascii="Times New Roman" w:hAnsi="Times New Roman"/>
          <w:sz w:val="24"/>
        </w:rPr>
      </w:pPr>
    </w:p>
    <w:p w:rsidR="007669AF" w:rsidRDefault="007669AF">
      <w:pPr>
        <w:suppressAutoHyphens/>
        <w:spacing w:after="0" w:line="240" w:lineRule="auto"/>
        <w:jc w:val="center"/>
        <w:rPr>
          <w:rFonts w:ascii="Times New Roman" w:hAnsi="Times New Roman"/>
          <w:sz w:val="24"/>
        </w:rPr>
      </w:pPr>
    </w:p>
    <w:p w:rsidR="007669AF" w:rsidRDefault="007669AF">
      <w:pPr>
        <w:suppressAutoHyphens/>
        <w:spacing w:after="0" w:line="240" w:lineRule="auto"/>
        <w:jc w:val="center"/>
        <w:rPr>
          <w:rFonts w:ascii="Times New Roman" w:hAnsi="Times New Roman"/>
          <w:sz w:val="24"/>
        </w:rPr>
      </w:pPr>
    </w:p>
    <w:tbl>
      <w:tblPr>
        <w:tblW w:w="0" w:type="auto"/>
        <w:tblInd w:w="108" w:type="dxa"/>
        <w:tblCellMar>
          <w:left w:w="10" w:type="dxa"/>
          <w:right w:w="10" w:type="dxa"/>
        </w:tblCellMar>
        <w:tblLook w:val="00A0"/>
      </w:tblPr>
      <w:tblGrid>
        <w:gridCol w:w="5670"/>
      </w:tblGrid>
      <w:tr w:rsidR="007669AF" w:rsidRPr="00AE18DE" w:rsidTr="003871EF">
        <w:trPr>
          <w:trHeight w:val="1"/>
        </w:trPr>
        <w:tc>
          <w:tcPr>
            <w:tcW w:w="5670" w:type="dxa"/>
            <w:shd w:val="clear" w:color="000000" w:fill="FFFFFF"/>
            <w:tcMar>
              <w:left w:w="108" w:type="dxa"/>
              <w:right w:w="108" w:type="dxa"/>
            </w:tcMar>
          </w:tcPr>
          <w:p w:rsidR="007669AF" w:rsidRPr="00AE18DE" w:rsidRDefault="007669AF" w:rsidP="00A873F2">
            <w:pPr>
              <w:suppressAutoHyphens/>
              <w:spacing w:after="0" w:line="240" w:lineRule="auto"/>
              <w:ind w:left="-108"/>
              <w:jc w:val="both"/>
            </w:pPr>
            <w:r>
              <w:rPr>
                <w:rFonts w:ascii="Times New Roman" w:hAnsi="Times New Roman"/>
                <w:sz w:val="28"/>
              </w:rPr>
              <w:t xml:space="preserve">О внесении изменений в государственную программу </w:t>
            </w:r>
            <w:bookmarkStart w:id="0" w:name="_GoBack"/>
            <w:bookmarkEnd w:id="0"/>
            <w:r>
              <w:rPr>
                <w:rFonts w:ascii="Times New Roman" w:hAnsi="Times New Roman"/>
                <w:sz w:val="28"/>
              </w:rPr>
              <w:t xml:space="preserve">«Профилактика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w:t>
            </w:r>
          </w:p>
        </w:tc>
      </w:tr>
    </w:tbl>
    <w:p w:rsidR="007669AF" w:rsidRDefault="007669AF">
      <w:pPr>
        <w:suppressAutoHyphens/>
        <w:spacing w:after="0" w:line="240" w:lineRule="auto"/>
        <w:rPr>
          <w:rFonts w:ascii="Times New Roman" w:hAnsi="Times New Roman"/>
          <w:sz w:val="28"/>
        </w:rPr>
      </w:pPr>
    </w:p>
    <w:p w:rsidR="007669AF" w:rsidRDefault="007669AF">
      <w:pPr>
        <w:spacing w:after="0" w:line="240" w:lineRule="auto"/>
        <w:jc w:val="both"/>
        <w:rPr>
          <w:rFonts w:ascii="Times New Roman" w:hAnsi="Times New Roman"/>
          <w:b/>
          <w:sz w:val="28"/>
          <w:shd w:val="clear" w:color="auto" w:fill="FFFFFF"/>
        </w:rPr>
      </w:pPr>
    </w:p>
    <w:p w:rsidR="007669AF" w:rsidRPr="00C50949" w:rsidRDefault="007669AF">
      <w:pPr>
        <w:spacing w:after="0" w:line="240" w:lineRule="auto"/>
        <w:jc w:val="both"/>
        <w:rPr>
          <w:rFonts w:ascii="Times New Roman" w:hAnsi="Times New Roman"/>
          <w:color w:val="2D2D2D"/>
          <w:spacing w:val="1"/>
          <w:sz w:val="28"/>
          <w:shd w:val="clear" w:color="auto" w:fill="FFFFFF"/>
        </w:rPr>
      </w:pPr>
      <w:r>
        <w:rPr>
          <w:rFonts w:ascii="Times New Roman" w:hAnsi="Times New Roman"/>
          <w:b/>
          <w:sz w:val="28"/>
          <w:shd w:val="clear" w:color="auto" w:fill="FFFFFF"/>
        </w:rPr>
        <w:tab/>
      </w:r>
      <w:r w:rsidRPr="00C50949">
        <w:rPr>
          <w:rFonts w:ascii="Times New Roman" w:hAnsi="Times New Roman"/>
          <w:sz w:val="28"/>
          <w:shd w:val="clear" w:color="auto" w:fill="FFFFFF"/>
        </w:rPr>
        <w:t xml:space="preserve">В соответствии с постановлением Правительства Брянской области  от 28 октября 2013 года </w:t>
      </w:r>
      <w:hyperlink r:id="rId6">
        <w:r w:rsidRPr="00C50949">
          <w:rPr>
            <w:rFonts w:ascii="Times New Roman" w:hAnsi="Times New Roman"/>
            <w:color w:val="0000FF"/>
            <w:sz w:val="28"/>
            <w:shd w:val="clear" w:color="auto" w:fill="FFFFFF"/>
          </w:rPr>
          <w:t>№ 608-п</w:t>
        </w:r>
      </w:hyperlink>
      <w:r w:rsidRPr="00C50949">
        <w:rPr>
          <w:rFonts w:ascii="Times New Roman" w:hAnsi="Times New Roman"/>
          <w:sz w:val="28"/>
          <w:shd w:val="clear" w:color="auto" w:fill="FFFFFF"/>
        </w:rPr>
        <w:t xml:space="preserve"> «Об утверждении Порядка разработки, реализации и оценки эффективности государственных программ Брянской </w:t>
      </w:r>
      <w:r w:rsidRPr="00BE2C49">
        <w:rPr>
          <w:rFonts w:ascii="Times New Roman" w:hAnsi="Times New Roman"/>
          <w:sz w:val="28"/>
          <w:shd w:val="clear" w:color="auto" w:fill="FFFFFF"/>
        </w:rPr>
        <w:t xml:space="preserve">области», </w:t>
      </w:r>
      <w:r w:rsidRPr="00BE2C49">
        <w:rPr>
          <w:rFonts w:ascii="Times New Roman" w:hAnsi="Times New Roman"/>
          <w:color w:val="2D2D2D"/>
          <w:spacing w:val="1"/>
          <w:sz w:val="28"/>
          <w:shd w:val="clear" w:color="auto" w:fill="FFFFFF"/>
        </w:rPr>
        <w:t>Законом Брян</w:t>
      </w:r>
      <w:r>
        <w:rPr>
          <w:rFonts w:ascii="Times New Roman" w:hAnsi="Times New Roman"/>
          <w:color w:val="2D2D2D"/>
          <w:spacing w:val="1"/>
          <w:sz w:val="28"/>
          <w:shd w:val="clear" w:color="auto" w:fill="FFFFFF"/>
        </w:rPr>
        <w:t xml:space="preserve">ской области от </w:t>
      </w:r>
      <w:r w:rsidRPr="00BE2C49">
        <w:rPr>
          <w:rFonts w:ascii="Times New Roman" w:hAnsi="Times New Roman"/>
          <w:color w:val="2D2D2D"/>
          <w:spacing w:val="1"/>
          <w:sz w:val="28"/>
          <w:shd w:val="clear" w:color="auto" w:fill="FFFFFF"/>
        </w:rPr>
        <w:t>2  декабря2019 года № 101-З «О</w:t>
      </w:r>
      <w:r>
        <w:rPr>
          <w:rFonts w:ascii="Times New Roman" w:hAnsi="Times New Roman"/>
          <w:color w:val="2D2D2D"/>
          <w:spacing w:val="1"/>
          <w:sz w:val="28"/>
          <w:shd w:val="clear" w:color="auto" w:fill="FFFFFF"/>
        </w:rPr>
        <w:t xml:space="preserve"> внесении изменений в Закон Брянской области «Об областном бюджете на 2019 год и на плановый период 2020 и 2021 годов» Правительство Брянской области</w:t>
      </w:r>
    </w:p>
    <w:p w:rsidR="007669AF" w:rsidRPr="00C50949" w:rsidRDefault="007669AF">
      <w:pPr>
        <w:spacing w:after="0" w:line="240" w:lineRule="auto"/>
        <w:jc w:val="both"/>
        <w:rPr>
          <w:rFonts w:ascii="Times New Roman" w:hAnsi="Times New Roman"/>
          <w:sz w:val="28"/>
        </w:rPr>
      </w:pPr>
      <w:r w:rsidRPr="00C50949">
        <w:rPr>
          <w:rFonts w:ascii="Times New Roman" w:hAnsi="Times New Roman"/>
          <w:sz w:val="28"/>
        </w:rPr>
        <w:t>ПОСТАНОВЛЯЕТ:</w:t>
      </w:r>
    </w:p>
    <w:p w:rsidR="007669AF" w:rsidRPr="00C50949"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r w:rsidRPr="00C50949">
        <w:rPr>
          <w:rFonts w:ascii="Times New Roman" w:hAnsi="Times New Roman"/>
          <w:sz w:val="28"/>
        </w:rPr>
        <w:t>1. Внести в государственную программу «Профилактика правонару</w:t>
      </w:r>
      <w:r>
        <w:rPr>
          <w:rFonts w:ascii="Times New Roman" w:hAnsi="Times New Roman"/>
          <w:sz w:val="28"/>
        </w:rPr>
        <w:t>-</w:t>
      </w:r>
      <w:r w:rsidRPr="00C50949">
        <w:rPr>
          <w:rFonts w:ascii="Times New Roman" w:hAnsi="Times New Roman"/>
          <w:sz w:val="28"/>
        </w:rPr>
        <w:t>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w:t>
      </w:r>
      <w:r>
        <w:rPr>
          <w:rFonts w:ascii="Times New Roman" w:hAnsi="Times New Roman"/>
          <w:sz w:val="28"/>
        </w:rPr>
        <w:t xml:space="preserve"> от чрезвычайных ситуаций,</w:t>
      </w:r>
      <w:r w:rsidRPr="00C50949">
        <w:rPr>
          <w:rFonts w:ascii="Times New Roman" w:hAnsi="Times New Roman"/>
          <w:sz w:val="28"/>
        </w:rPr>
        <w:t xml:space="preserve"> профилактика терроризма и экстремизма», утвержденную постановлением   Пр</w:t>
      </w:r>
      <w:r>
        <w:rPr>
          <w:rFonts w:ascii="Times New Roman" w:hAnsi="Times New Roman"/>
          <w:sz w:val="28"/>
        </w:rPr>
        <w:t>авительства Брянской области от</w:t>
      </w:r>
      <w:r w:rsidRPr="00C50949">
        <w:rPr>
          <w:rFonts w:ascii="Times New Roman" w:hAnsi="Times New Roman"/>
          <w:sz w:val="28"/>
        </w:rPr>
        <w:t>27 декабря 2018 года № 730-п «Об утверждении государственной программы «Профилактика правонарушений и противодействие преступности н</w:t>
      </w:r>
      <w:r>
        <w:rPr>
          <w:rFonts w:ascii="Times New Roman" w:hAnsi="Times New Roman"/>
          <w:sz w:val="28"/>
        </w:rPr>
        <w:t xml:space="preserve">а территории Брянской области, </w:t>
      </w:r>
      <w:r w:rsidRPr="00C50949">
        <w:rPr>
          <w:rFonts w:ascii="Times New Roman" w:hAnsi="Times New Roman"/>
          <w:sz w:val="28"/>
        </w:rPr>
        <w:t>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(в редакции постановлений</w:t>
      </w:r>
      <w:r>
        <w:rPr>
          <w:rFonts w:ascii="Times New Roman" w:hAnsi="Times New Roman"/>
          <w:sz w:val="28"/>
        </w:rPr>
        <w:t xml:space="preserve"> Правительства </w:t>
      </w:r>
      <w:r w:rsidRPr="00C50949">
        <w:rPr>
          <w:rFonts w:ascii="Times New Roman" w:hAnsi="Times New Roman"/>
          <w:sz w:val="28"/>
        </w:rPr>
        <w:t>Брянской области от 29 марта  2019 года  № 135-п, от2 августа 2019 года № 341-п</w:t>
      </w:r>
      <w:r>
        <w:rPr>
          <w:rFonts w:ascii="Times New Roman" w:hAnsi="Times New Roman"/>
          <w:sz w:val="28"/>
        </w:rPr>
        <w:t>, от 14 октября 2019 года № 484-п)</w:t>
      </w:r>
      <w:r w:rsidRPr="00C50949">
        <w:rPr>
          <w:rFonts w:ascii="Times New Roman" w:hAnsi="Times New Roman"/>
          <w:sz w:val="28"/>
        </w:rPr>
        <w:t>, следующие изменения:</w:t>
      </w:r>
    </w:p>
    <w:p w:rsidR="007669AF" w:rsidRDefault="007669AF">
      <w:pPr>
        <w:spacing w:after="0" w:line="240" w:lineRule="auto"/>
        <w:ind w:firstLine="708"/>
        <w:jc w:val="both"/>
        <w:rPr>
          <w:rFonts w:ascii="Times New Roman" w:hAnsi="Times New Roman"/>
          <w:sz w:val="28"/>
        </w:rPr>
      </w:pPr>
      <w:r>
        <w:rPr>
          <w:rFonts w:ascii="Times New Roman" w:hAnsi="Times New Roman"/>
          <w:sz w:val="28"/>
        </w:rPr>
        <w:t>1.1. В паспорте государственной программы:</w:t>
      </w:r>
    </w:p>
    <w:p w:rsidR="007669AF" w:rsidRDefault="007669AF" w:rsidP="00F938D7">
      <w:pPr>
        <w:spacing w:after="0" w:line="240" w:lineRule="auto"/>
        <w:ind w:firstLine="708"/>
        <w:jc w:val="both"/>
        <w:rPr>
          <w:rFonts w:ascii="Times New Roman" w:hAnsi="Times New Roman"/>
          <w:sz w:val="28"/>
        </w:rPr>
      </w:pPr>
      <w:r>
        <w:rPr>
          <w:rFonts w:ascii="Times New Roman" w:hAnsi="Times New Roman"/>
          <w:sz w:val="28"/>
        </w:rPr>
        <w:t>1.1.1.Позицию «Объем бюджетных ассигнований на реализацию государственной программы» изложить в следующей редакции:</w:t>
      </w:r>
    </w:p>
    <w:p w:rsidR="007669AF" w:rsidRDefault="007669AF" w:rsidP="00F938D7">
      <w:pPr>
        <w:spacing w:after="0" w:line="240" w:lineRule="auto"/>
        <w:ind w:firstLine="708"/>
        <w:jc w:val="both"/>
        <w:rPr>
          <w:rFonts w:ascii="Times New Roman" w:hAnsi="Times New Roman"/>
          <w:sz w:val="28"/>
        </w:rPr>
      </w:pPr>
      <w:r>
        <w:rPr>
          <w:rFonts w:ascii="Times New Roman" w:hAnsi="Times New Roman"/>
          <w:sz w:val="28"/>
        </w:rPr>
        <w:t>«общий объем средств, предусмотренных на реализацию государственной программы:</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2019 год – 726 367 307,78 рубля;</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2020 год – 602 485 228,56 рубля;</w:t>
      </w:r>
    </w:p>
    <w:p w:rsidR="007669AF"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2021 год – 602 793 936,82 рубля».</w:t>
      </w:r>
    </w:p>
    <w:p w:rsidR="007669AF" w:rsidRDefault="007669AF" w:rsidP="00F938D7">
      <w:pPr>
        <w:spacing w:after="0" w:line="240" w:lineRule="auto"/>
        <w:ind w:firstLine="708"/>
        <w:jc w:val="both"/>
        <w:rPr>
          <w:rFonts w:ascii="Times New Roman" w:hAnsi="Times New Roman"/>
          <w:sz w:val="28"/>
        </w:rPr>
      </w:pPr>
      <w:r>
        <w:rPr>
          <w:rFonts w:ascii="Times New Roman" w:hAnsi="Times New Roman"/>
          <w:sz w:val="28"/>
        </w:rPr>
        <w:t>1.1.2. Позицию «Объем бюджетных ассигнований на реализацию проектов (программ), реализуемых в рамках подпрограммы» изложить в следующей редакции:</w:t>
      </w:r>
    </w:p>
    <w:p w:rsidR="007669AF" w:rsidRPr="008F6155" w:rsidRDefault="007669AF" w:rsidP="00F938D7">
      <w:pPr>
        <w:spacing w:after="0" w:line="240" w:lineRule="auto"/>
        <w:ind w:firstLine="708"/>
        <w:jc w:val="both"/>
        <w:rPr>
          <w:rFonts w:ascii="Times New Roman" w:hAnsi="Times New Roman"/>
          <w:sz w:val="28"/>
        </w:rPr>
      </w:pPr>
      <w:r w:rsidRPr="008F6155">
        <w:rPr>
          <w:rFonts w:ascii="Times New Roman" w:hAnsi="Times New Roman"/>
          <w:sz w:val="28"/>
        </w:rPr>
        <w:t>«2019 год – 47 072 941,69 рубля;</w:t>
      </w:r>
    </w:p>
    <w:p w:rsidR="007669AF" w:rsidRPr="008F6155" w:rsidRDefault="007669AF" w:rsidP="00F938D7">
      <w:pPr>
        <w:spacing w:after="0" w:line="240" w:lineRule="auto"/>
        <w:ind w:firstLine="708"/>
        <w:jc w:val="both"/>
        <w:rPr>
          <w:rFonts w:ascii="Times New Roman" w:hAnsi="Times New Roman"/>
          <w:sz w:val="28"/>
        </w:rPr>
      </w:pPr>
      <w:r w:rsidRPr="008F6155">
        <w:rPr>
          <w:rFonts w:ascii="Times New Roman" w:hAnsi="Times New Roman"/>
          <w:sz w:val="28"/>
        </w:rPr>
        <w:t>2020 год – 7 877 706,56 рубля;</w:t>
      </w:r>
    </w:p>
    <w:p w:rsidR="007669AF" w:rsidRDefault="007669AF" w:rsidP="00F938D7">
      <w:pPr>
        <w:spacing w:after="0" w:line="240" w:lineRule="auto"/>
        <w:ind w:firstLine="708"/>
        <w:jc w:val="both"/>
        <w:rPr>
          <w:rFonts w:ascii="Times New Roman" w:hAnsi="Times New Roman"/>
          <w:sz w:val="28"/>
        </w:rPr>
      </w:pPr>
      <w:r w:rsidRPr="008F6155">
        <w:rPr>
          <w:rFonts w:ascii="Times New Roman" w:hAnsi="Times New Roman"/>
          <w:sz w:val="28"/>
        </w:rPr>
        <w:t>2021 год – 8 162 814,82 рубля».</w:t>
      </w:r>
    </w:p>
    <w:p w:rsidR="007669AF" w:rsidRDefault="007669AF" w:rsidP="00F938D7">
      <w:pPr>
        <w:spacing w:after="0" w:line="240" w:lineRule="auto"/>
        <w:ind w:firstLine="708"/>
        <w:jc w:val="both"/>
        <w:rPr>
          <w:rFonts w:ascii="Times New Roman" w:hAnsi="Times New Roman"/>
          <w:sz w:val="28"/>
        </w:rPr>
      </w:pPr>
      <w:r>
        <w:rPr>
          <w:rFonts w:ascii="Times New Roman" w:hAnsi="Times New Roman"/>
          <w:sz w:val="28"/>
        </w:rPr>
        <w:t>1.2.Раздел 4 государственной программы «Ресурсное обеспечение государственной программы» изложить в редакции:</w:t>
      </w:r>
    </w:p>
    <w:p w:rsidR="007669AF" w:rsidRDefault="007669AF" w:rsidP="00F938D7">
      <w:pPr>
        <w:spacing w:after="0" w:line="240" w:lineRule="auto"/>
        <w:ind w:firstLine="708"/>
        <w:jc w:val="both"/>
        <w:rPr>
          <w:rFonts w:ascii="Times New Roman" w:hAnsi="Times New Roman"/>
          <w:sz w:val="28"/>
        </w:rPr>
      </w:pPr>
      <w:r>
        <w:rPr>
          <w:rFonts w:ascii="Times New Roman" w:hAnsi="Times New Roman"/>
          <w:sz w:val="28"/>
        </w:rPr>
        <w:t>«Общий объем финансирования программы составляет:</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2019 год – 726 367 307,78 рубля;</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2020 год – 602 485 228,56 рубля;</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2021 год – 602 793 936,82 рубля;</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из них за счет поступлений из федерального бюджета:</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2019 год – 30 361 600,00 рубля;</w:t>
      </w:r>
    </w:p>
    <w:p w:rsidR="007669AF" w:rsidRPr="007A5C5D"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2020 год – 30 381 800,00 рубля;</w:t>
      </w:r>
    </w:p>
    <w:p w:rsidR="007669AF" w:rsidRDefault="007669AF" w:rsidP="00F938D7">
      <w:pPr>
        <w:spacing w:after="0" w:line="240" w:lineRule="auto"/>
        <w:ind w:firstLine="708"/>
        <w:jc w:val="both"/>
        <w:rPr>
          <w:rFonts w:ascii="Times New Roman" w:hAnsi="Times New Roman"/>
          <w:sz w:val="28"/>
        </w:rPr>
      </w:pPr>
      <w:r w:rsidRPr="007A5C5D">
        <w:rPr>
          <w:rFonts w:ascii="Times New Roman" w:hAnsi="Times New Roman"/>
          <w:sz w:val="28"/>
        </w:rPr>
        <w:t>2021 год – 30 405 400,00 рубля.».</w:t>
      </w:r>
    </w:p>
    <w:p w:rsidR="007669AF" w:rsidRPr="007A5C5D" w:rsidRDefault="007669AF" w:rsidP="00F938D7">
      <w:pPr>
        <w:spacing w:after="0" w:line="240" w:lineRule="auto"/>
        <w:ind w:firstLine="708"/>
        <w:jc w:val="both"/>
        <w:rPr>
          <w:rFonts w:ascii="Times New Roman" w:hAnsi="Times New Roman"/>
          <w:color w:val="000000"/>
          <w:sz w:val="28"/>
        </w:rPr>
      </w:pPr>
      <w:r w:rsidRPr="007A5C5D">
        <w:rPr>
          <w:rFonts w:ascii="Times New Roman" w:hAnsi="Times New Roman"/>
          <w:color w:val="000000"/>
          <w:sz w:val="28"/>
        </w:rPr>
        <w:t>1.3. В подпрограмме «Построение и развитие аппаратно-программного комплекса «Безопасный город» на территории Брянской области, повышение безопасности дорожного движения»</w:t>
      </w:r>
    </w:p>
    <w:p w:rsidR="007669AF" w:rsidRPr="00A873F2" w:rsidRDefault="007669AF" w:rsidP="00F938D7">
      <w:pPr>
        <w:spacing w:after="0" w:line="240" w:lineRule="auto"/>
        <w:ind w:firstLine="708"/>
        <w:jc w:val="both"/>
        <w:rPr>
          <w:rFonts w:ascii="Times New Roman" w:hAnsi="Times New Roman"/>
          <w:sz w:val="28"/>
        </w:rPr>
      </w:pPr>
      <w:r w:rsidRPr="00A873F2">
        <w:rPr>
          <w:rFonts w:ascii="Times New Roman" w:hAnsi="Times New Roman"/>
          <w:sz w:val="28"/>
        </w:rPr>
        <w:t>1.3.</w:t>
      </w:r>
      <w:r>
        <w:rPr>
          <w:rFonts w:ascii="Times New Roman" w:hAnsi="Times New Roman"/>
          <w:sz w:val="28"/>
        </w:rPr>
        <w:t>1.</w:t>
      </w:r>
      <w:r w:rsidRPr="00A873F2">
        <w:rPr>
          <w:rFonts w:ascii="Times New Roman" w:hAnsi="Times New Roman"/>
          <w:sz w:val="28"/>
        </w:rPr>
        <w:t xml:space="preserve"> В паспорте подпрограммы:</w:t>
      </w:r>
    </w:p>
    <w:p w:rsidR="007669AF" w:rsidRDefault="007669AF" w:rsidP="00EE48B8">
      <w:pPr>
        <w:spacing w:after="0" w:line="240" w:lineRule="auto"/>
        <w:ind w:firstLine="708"/>
        <w:jc w:val="both"/>
        <w:rPr>
          <w:rFonts w:ascii="Times New Roman" w:hAnsi="Times New Roman"/>
          <w:sz w:val="28"/>
        </w:rPr>
      </w:pPr>
      <w:r>
        <w:rPr>
          <w:rFonts w:ascii="Times New Roman" w:hAnsi="Times New Roman"/>
          <w:sz w:val="28"/>
        </w:rPr>
        <w:t>1.3.1.1. Позицию «Объем бюджетных ассигнований на реализацию подпрограммы» изложить в редакции:</w:t>
      </w:r>
    </w:p>
    <w:p w:rsidR="007669AF" w:rsidRDefault="007669AF" w:rsidP="00EE48B8">
      <w:pPr>
        <w:spacing w:after="0" w:line="240" w:lineRule="auto"/>
        <w:ind w:firstLine="708"/>
        <w:jc w:val="both"/>
        <w:rPr>
          <w:rFonts w:ascii="Times New Roman" w:hAnsi="Times New Roman"/>
          <w:sz w:val="28"/>
        </w:rPr>
      </w:pPr>
      <w:r>
        <w:rPr>
          <w:rFonts w:ascii="Times New Roman" w:hAnsi="Times New Roman"/>
          <w:sz w:val="28"/>
        </w:rPr>
        <w:t>«общий объем средств, предусмотренных на реализацию подпрограммы:</w:t>
      </w:r>
    </w:p>
    <w:p w:rsidR="007669AF" w:rsidRPr="007A5C5D" w:rsidRDefault="007669AF" w:rsidP="00EE48B8">
      <w:pPr>
        <w:spacing w:after="0" w:line="240" w:lineRule="auto"/>
        <w:ind w:firstLine="708"/>
        <w:jc w:val="both"/>
        <w:rPr>
          <w:rFonts w:ascii="Times New Roman" w:hAnsi="Times New Roman"/>
          <w:sz w:val="28"/>
        </w:rPr>
      </w:pPr>
      <w:r w:rsidRPr="007A5C5D">
        <w:rPr>
          <w:rFonts w:ascii="Times New Roman" w:hAnsi="Times New Roman"/>
          <w:sz w:val="28"/>
        </w:rPr>
        <w:t>2019 год – 204 047 651,69 рубля;</w:t>
      </w:r>
    </w:p>
    <w:p w:rsidR="007669AF" w:rsidRPr="007A5C5D" w:rsidRDefault="007669AF" w:rsidP="00EE48B8">
      <w:pPr>
        <w:spacing w:after="0" w:line="240" w:lineRule="auto"/>
        <w:ind w:firstLine="708"/>
        <w:jc w:val="both"/>
        <w:rPr>
          <w:rFonts w:ascii="Times New Roman" w:hAnsi="Times New Roman"/>
          <w:sz w:val="28"/>
        </w:rPr>
      </w:pPr>
      <w:r w:rsidRPr="007A5C5D">
        <w:rPr>
          <w:rFonts w:ascii="Times New Roman" w:hAnsi="Times New Roman"/>
          <w:sz w:val="28"/>
        </w:rPr>
        <w:t>2020 год – 135 715 023,56 рубля;</w:t>
      </w:r>
    </w:p>
    <w:p w:rsidR="007669AF" w:rsidRDefault="007669AF" w:rsidP="00EE48B8">
      <w:pPr>
        <w:spacing w:after="0" w:line="240" w:lineRule="auto"/>
        <w:ind w:firstLine="708"/>
        <w:jc w:val="both"/>
        <w:rPr>
          <w:rFonts w:ascii="Times New Roman" w:hAnsi="Times New Roman"/>
          <w:sz w:val="28"/>
        </w:rPr>
      </w:pPr>
      <w:r w:rsidRPr="007A5C5D">
        <w:rPr>
          <w:rFonts w:ascii="Times New Roman" w:hAnsi="Times New Roman"/>
          <w:sz w:val="28"/>
        </w:rPr>
        <w:t>2021 год – 136 000 131,82 рубля».</w:t>
      </w:r>
    </w:p>
    <w:p w:rsidR="007669AF" w:rsidRDefault="007669AF" w:rsidP="00EE48B8">
      <w:pPr>
        <w:spacing w:after="0" w:line="240" w:lineRule="auto"/>
        <w:ind w:firstLine="708"/>
        <w:jc w:val="both"/>
        <w:rPr>
          <w:rFonts w:ascii="Times New Roman" w:hAnsi="Times New Roman"/>
          <w:sz w:val="28"/>
        </w:rPr>
      </w:pPr>
      <w:r>
        <w:rPr>
          <w:rFonts w:ascii="Times New Roman" w:hAnsi="Times New Roman"/>
          <w:sz w:val="28"/>
        </w:rPr>
        <w:t>1.3.1.2. Позицию «Объем бюджетных ассигнований на реализацию проектов (программ), реализуемых в рамках подпрограммы» изложить в редакции:</w:t>
      </w:r>
    </w:p>
    <w:p w:rsidR="007669AF" w:rsidRDefault="007669AF" w:rsidP="008D234A">
      <w:pPr>
        <w:spacing w:after="0" w:line="240" w:lineRule="auto"/>
        <w:ind w:firstLine="708"/>
        <w:jc w:val="both"/>
        <w:rPr>
          <w:rFonts w:ascii="Times New Roman" w:hAnsi="Times New Roman"/>
          <w:sz w:val="28"/>
        </w:rPr>
      </w:pPr>
      <w:r>
        <w:rPr>
          <w:rFonts w:ascii="Times New Roman" w:hAnsi="Times New Roman"/>
          <w:sz w:val="28"/>
        </w:rPr>
        <w:t>«общий объем средств, предусмотренных на реализацию подпро-граммы:</w:t>
      </w:r>
    </w:p>
    <w:p w:rsidR="007669AF" w:rsidRPr="0074380F" w:rsidRDefault="007669AF" w:rsidP="008D234A">
      <w:pPr>
        <w:spacing w:after="0" w:line="240" w:lineRule="auto"/>
        <w:ind w:firstLine="708"/>
        <w:jc w:val="both"/>
        <w:rPr>
          <w:rFonts w:ascii="Times New Roman" w:hAnsi="Times New Roman"/>
          <w:sz w:val="28"/>
        </w:rPr>
      </w:pPr>
      <w:r w:rsidRPr="0074380F">
        <w:rPr>
          <w:rFonts w:ascii="Times New Roman" w:hAnsi="Times New Roman"/>
          <w:sz w:val="28"/>
        </w:rPr>
        <w:t xml:space="preserve"> 2019 год – 47 072 941,69 рубля;</w:t>
      </w:r>
    </w:p>
    <w:p w:rsidR="007669AF" w:rsidRPr="0074380F" w:rsidRDefault="007669AF" w:rsidP="008D234A">
      <w:pPr>
        <w:spacing w:after="0" w:line="240" w:lineRule="auto"/>
        <w:ind w:firstLine="708"/>
        <w:jc w:val="both"/>
        <w:rPr>
          <w:rFonts w:ascii="Times New Roman" w:hAnsi="Times New Roman"/>
          <w:sz w:val="28"/>
        </w:rPr>
      </w:pPr>
      <w:r w:rsidRPr="0074380F">
        <w:rPr>
          <w:rFonts w:ascii="Times New Roman" w:hAnsi="Times New Roman"/>
          <w:sz w:val="28"/>
        </w:rPr>
        <w:t>2020  г</w:t>
      </w:r>
      <w:r>
        <w:rPr>
          <w:rFonts w:ascii="Times New Roman" w:hAnsi="Times New Roman"/>
          <w:sz w:val="28"/>
        </w:rPr>
        <w:t xml:space="preserve">од –  </w:t>
      </w:r>
      <w:r w:rsidRPr="0074380F">
        <w:rPr>
          <w:rFonts w:ascii="Times New Roman" w:hAnsi="Times New Roman"/>
          <w:sz w:val="28"/>
        </w:rPr>
        <w:t>7 877 706,56 рубля;</w:t>
      </w:r>
    </w:p>
    <w:p w:rsidR="007669AF" w:rsidRDefault="007669AF" w:rsidP="008D234A">
      <w:pPr>
        <w:spacing w:after="0" w:line="240" w:lineRule="auto"/>
        <w:ind w:firstLine="708"/>
        <w:jc w:val="both"/>
        <w:rPr>
          <w:rFonts w:ascii="Times New Roman" w:hAnsi="Times New Roman"/>
          <w:sz w:val="28"/>
        </w:rPr>
      </w:pPr>
      <w:r>
        <w:rPr>
          <w:rFonts w:ascii="Times New Roman" w:hAnsi="Times New Roman"/>
          <w:sz w:val="28"/>
        </w:rPr>
        <w:t xml:space="preserve">2021   год – </w:t>
      </w:r>
      <w:r w:rsidRPr="0074380F">
        <w:rPr>
          <w:rFonts w:ascii="Times New Roman" w:hAnsi="Times New Roman"/>
          <w:sz w:val="28"/>
        </w:rPr>
        <w:t>8 162 814,82 рубля».</w:t>
      </w:r>
    </w:p>
    <w:p w:rsidR="007669AF" w:rsidRDefault="007669AF" w:rsidP="008D234A">
      <w:pPr>
        <w:spacing w:after="0" w:line="240" w:lineRule="auto"/>
        <w:ind w:firstLine="708"/>
        <w:jc w:val="both"/>
        <w:rPr>
          <w:rFonts w:ascii="Times New Roman" w:hAnsi="Times New Roman"/>
          <w:sz w:val="28"/>
        </w:rPr>
      </w:pPr>
      <w:r>
        <w:rPr>
          <w:rFonts w:ascii="Times New Roman" w:hAnsi="Times New Roman"/>
          <w:sz w:val="28"/>
        </w:rPr>
        <w:t>1.3.2. Раздел 4 «Ресурсное обеспечение подпрограммы» изложить в редакции:</w:t>
      </w:r>
    </w:p>
    <w:p w:rsidR="007669AF" w:rsidRDefault="007669AF" w:rsidP="008D234A">
      <w:pPr>
        <w:spacing w:after="0" w:line="240" w:lineRule="auto"/>
        <w:ind w:firstLine="708"/>
        <w:jc w:val="both"/>
        <w:rPr>
          <w:rFonts w:ascii="Times New Roman" w:hAnsi="Times New Roman"/>
          <w:sz w:val="28"/>
        </w:rPr>
      </w:pPr>
      <w:r>
        <w:rPr>
          <w:rFonts w:ascii="Times New Roman" w:hAnsi="Times New Roman"/>
          <w:sz w:val="28"/>
        </w:rPr>
        <w:t>«Финансовое обеспечение мероприятий подпрограммы осуществляется за счет средств областного бюджета.</w:t>
      </w:r>
    </w:p>
    <w:p w:rsidR="007669AF" w:rsidRDefault="007669AF" w:rsidP="008D234A">
      <w:pPr>
        <w:spacing w:after="0" w:line="240" w:lineRule="auto"/>
        <w:ind w:firstLine="708"/>
        <w:jc w:val="both"/>
        <w:rPr>
          <w:rFonts w:ascii="Times New Roman" w:hAnsi="Times New Roman"/>
          <w:sz w:val="28"/>
        </w:rPr>
      </w:pPr>
      <w:r>
        <w:rPr>
          <w:rFonts w:ascii="Times New Roman" w:hAnsi="Times New Roman"/>
          <w:sz w:val="28"/>
        </w:rPr>
        <w:t>Общий объем средств, предусмотренных на реализацию подпро-граммы:</w:t>
      </w:r>
    </w:p>
    <w:p w:rsidR="007669AF" w:rsidRPr="007A5C5D" w:rsidRDefault="007669AF" w:rsidP="008D234A">
      <w:pPr>
        <w:spacing w:after="0" w:line="240" w:lineRule="auto"/>
        <w:ind w:firstLine="708"/>
        <w:jc w:val="both"/>
        <w:rPr>
          <w:rFonts w:ascii="Times New Roman" w:hAnsi="Times New Roman"/>
          <w:sz w:val="28"/>
        </w:rPr>
      </w:pPr>
      <w:r w:rsidRPr="007A5C5D">
        <w:rPr>
          <w:rFonts w:ascii="Times New Roman" w:hAnsi="Times New Roman"/>
          <w:sz w:val="28"/>
        </w:rPr>
        <w:t>2019 год – 204 047 651,69 рубля;</w:t>
      </w:r>
    </w:p>
    <w:p w:rsidR="007669AF" w:rsidRPr="00343EAC" w:rsidRDefault="007669AF" w:rsidP="008D234A">
      <w:pPr>
        <w:spacing w:after="0" w:line="240" w:lineRule="auto"/>
        <w:ind w:firstLine="708"/>
        <w:jc w:val="both"/>
        <w:rPr>
          <w:rFonts w:ascii="Times New Roman" w:hAnsi="Times New Roman"/>
          <w:sz w:val="28"/>
        </w:rPr>
      </w:pPr>
      <w:r w:rsidRPr="00343EAC">
        <w:rPr>
          <w:rFonts w:ascii="Times New Roman" w:hAnsi="Times New Roman"/>
          <w:sz w:val="28"/>
        </w:rPr>
        <w:t>2020 год – 135 715 023,56 рубля;</w:t>
      </w:r>
    </w:p>
    <w:p w:rsidR="007669AF" w:rsidRDefault="007669AF" w:rsidP="008D234A">
      <w:pPr>
        <w:spacing w:after="0" w:line="240" w:lineRule="auto"/>
        <w:ind w:firstLine="708"/>
        <w:jc w:val="both"/>
        <w:rPr>
          <w:rFonts w:ascii="Times New Roman" w:hAnsi="Times New Roman"/>
          <w:sz w:val="28"/>
        </w:rPr>
      </w:pPr>
      <w:r w:rsidRPr="00343EAC">
        <w:rPr>
          <w:rFonts w:ascii="Times New Roman" w:hAnsi="Times New Roman"/>
          <w:sz w:val="28"/>
        </w:rPr>
        <w:t>2021 год – 136 000 131,82 рубля.».</w:t>
      </w:r>
    </w:p>
    <w:p w:rsidR="007669AF" w:rsidRPr="00C50949" w:rsidRDefault="007669AF">
      <w:pPr>
        <w:spacing w:after="0" w:line="240" w:lineRule="auto"/>
        <w:ind w:firstLine="708"/>
        <w:jc w:val="both"/>
        <w:rPr>
          <w:rFonts w:ascii="Times New Roman" w:hAnsi="Times New Roman"/>
          <w:sz w:val="28"/>
        </w:rPr>
      </w:pPr>
      <w:r>
        <w:rPr>
          <w:rFonts w:ascii="Times New Roman" w:hAnsi="Times New Roman"/>
          <w:sz w:val="28"/>
        </w:rPr>
        <w:t>1.4</w:t>
      </w:r>
      <w:r w:rsidRPr="00C50949">
        <w:rPr>
          <w:rFonts w:ascii="Times New Roman" w:hAnsi="Times New Roman"/>
          <w:sz w:val="28"/>
        </w:rPr>
        <w:t xml:space="preserve">.Приложение 2 к государственной программе изложить </w:t>
      </w:r>
      <w:r>
        <w:rPr>
          <w:rFonts w:ascii="Times New Roman" w:hAnsi="Times New Roman"/>
          <w:sz w:val="28"/>
        </w:rPr>
        <w:t xml:space="preserve">в редакции согласно приложению </w:t>
      </w:r>
      <w:r w:rsidRPr="00C50949">
        <w:rPr>
          <w:rFonts w:ascii="Times New Roman" w:hAnsi="Times New Roman"/>
          <w:sz w:val="28"/>
        </w:rPr>
        <w:t xml:space="preserve"> к настоящему постановлению.</w:t>
      </w:r>
    </w:p>
    <w:p w:rsidR="007669AF" w:rsidRPr="00C50949" w:rsidRDefault="007669AF">
      <w:pPr>
        <w:spacing w:after="0" w:line="240" w:lineRule="auto"/>
        <w:ind w:firstLine="708"/>
        <w:jc w:val="both"/>
        <w:rPr>
          <w:rFonts w:ascii="Times New Roman" w:hAnsi="Times New Roman"/>
          <w:sz w:val="28"/>
        </w:rPr>
      </w:pPr>
      <w:r w:rsidRPr="00C50949">
        <w:rPr>
          <w:rFonts w:ascii="Times New Roman" w:hAnsi="Times New Roman"/>
          <w:sz w:val="28"/>
        </w:rPr>
        <w:t>2. Опубликовать постановление на «Официальном интернет-портале правовой информации» (p</w:t>
      </w:r>
      <w:r>
        <w:rPr>
          <w:rFonts w:ascii="Times New Roman" w:hAnsi="Times New Roman"/>
          <w:sz w:val="28"/>
          <w:lang w:val="en-US"/>
        </w:rPr>
        <w:t>r</w:t>
      </w:r>
      <w:r>
        <w:rPr>
          <w:rFonts w:ascii="Times New Roman" w:hAnsi="Times New Roman"/>
          <w:sz w:val="28"/>
        </w:rPr>
        <w:t>a</w:t>
      </w:r>
      <w:r w:rsidRPr="00C50949">
        <w:rPr>
          <w:rFonts w:ascii="Times New Roman" w:hAnsi="Times New Roman"/>
          <w:sz w:val="28"/>
        </w:rPr>
        <w:t>vo.gov.ru).</w:t>
      </w:r>
    </w:p>
    <w:p w:rsidR="007669AF" w:rsidRPr="00C50949" w:rsidRDefault="007669AF">
      <w:pPr>
        <w:spacing w:after="0" w:line="240" w:lineRule="auto"/>
        <w:ind w:firstLine="708"/>
        <w:jc w:val="both"/>
        <w:rPr>
          <w:rFonts w:ascii="Times New Roman" w:hAnsi="Times New Roman"/>
          <w:sz w:val="28"/>
        </w:rPr>
      </w:pPr>
      <w:r w:rsidRPr="00C50949">
        <w:rPr>
          <w:rFonts w:ascii="Times New Roman" w:hAnsi="Times New Roman"/>
          <w:sz w:val="28"/>
        </w:rPr>
        <w:t xml:space="preserve">3.Постановление вступает в силу </w:t>
      </w:r>
      <w:r>
        <w:rPr>
          <w:rFonts w:ascii="Times New Roman" w:hAnsi="Times New Roman"/>
          <w:sz w:val="28"/>
        </w:rPr>
        <w:t>после</w:t>
      </w:r>
      <w:r w:rsidRPr="00C50949">
        <w:rPr>
          <w:rFonts w:ascii="Times New Roman" w:hAnsi="Times New Roman"/>
          <w:sz w:val="28"/>
        </w:rPr>
        <w:t xml:space="preserve"> его официального опубли</w:t>
      </w:r>
      <w:r>
        <w:rPr>
          <w:rFonts w:ascii="Times New Roman" w:hAnsi="Times New Roman"/>
          <w:sz w:val="28"/>
        </w:rPr>
        <w:t>-</w:t>
      </w:r>
      <w:r w:rsidRPr="00C50949">
        <w:rPr>
          <w:rFonts w:ascii="Times New Roman" w:hAnsi="Times New Roman"/>
          <w:sz w:val="28"/>
        </w:rPr>
        <w:t>кования.</w:t>
      </w:r>
    </w:p>
    <w:p w:rsidR="007669AF" w:rsidRDefault="007669AF">
      <w:pPr>
        <w:spacing w:after="0" w:line="240" w:lineRule="auto"/>
        <w:ind w:firstLine="708"/>
        <w:jc w:val="both"/>
        <w:rPr>
          <w:rFonts w:ascii="Times New Roman" w:hAnsi="Times New Roman"/>
          <w:sz w:val="28"/>
        </w:rPr>
      </w:pPr>
      <w:r w:rsidRPr="00C50949">
        <w:rPr>
          <w:rFonts w:ascii="Times New Roman" w:hAnsi="Times New Roman"/>
          <w:sz w:val="28"/>
        </w:rPr>
        <w:t xml:space="preserve">4. Контроль  за исполнением постановления возложить на </w:t>
      </w:r>
      <w:r w:rsidRPr="0042699B">
        <w:rPr>
          <w:rFonts w:ascii="Times New Roman" w:hAnsi="Times New Roman"/>
          <w:sz w:val="28"/>
        </w:rPr>
        <w:t>заместителя Губернатора Брянской области Филипенко Ю.В.</w:t>
      </w: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sectPr w:rsidR="007669AF" w:rsidSect="00A873F2">
          <w:headerReference w:type="default" r:id="rId7"/>
          <w:pgSz w:w="11906" w:h="16838"/>
          <w:pgMar w:top="1134" w:right="850" w:bottom="1134" w:left="1701" w:header="708" w:footer="708" w:gutter="0"/>
          <w:cols w:space="708"/>
          <w:titlePg/>
          <w:docGrid w:linePitch="360"/>
        </w:sect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tbl>
      <w:tblPr>
        <w:tblW w:w="15885" w:type="dxa"/>
        <w:tblInd w:w="93" w:type="dxa"/>
        <w:tblLayout w:type="fixed"/>
        <w:tblLook w:val="00A0"/>
      </w:tblPr>
      <w:tblGrid>
        <w:gridCol w:w="5"/>
        <w:gridCol w:w="939"/>
        <w:gridCol w:w="2193"/>
        <w:gridCol w:w="1727"/>
        <w:gridCol w:w="1531"/>
        <w:gridCol w:w="709"/>
        <w:gridCol w:w="567"/>
        <w:gridCol w:w="567"/>
        <w:gridCol w:w="567"/>
        <w:gridCol w:w="992"/>
        <w:gridCol w:w="1418"/>
        <w:gridCol w:w="1275"/>
        <w:gridCol w:w="1276"/>
        <w:gridCol w:w="2119"/>
      </w:tblGrid>
      <w:tr w:rsidR="007669AF" w:rsidRPr="00AE18DE" w:rsidTr="006B440A">
        <w:trPr>
          <w:trHeight w:val="510"/>
        </w:trPr>
        <w:tc>
          <w:tcPr>
            <w:tcW w:w="15885" w:type="dxa"/>
            <w:gridSpan w:val="14"/>
            <w:tcBorders>
              <w:top w:val="single" w:sz="4" w:space="0" w:color="000000"/>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План реализации государственной программы</w:t>
            </w:r>
          </w:p>
        </w:tc>
      </w:tr>
      <w:tr w:rsidR="007669AF" w:rsidRPr="00AE18DE" w:rsidTr="006B440A">
        <w:trPr>
          <w:trHeight w:val="1460"/>
        </w:trPr>
        <w:tc>
          <w:tcPr>
            <w:tcW w:w="940" w:type="dxa"/>
            <w:gridSpan w:val="2"/>
            <w:vMerge w:val="restart"/>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 пп</w:t>
            </w:r>
          </w:p>
        </w:tc>
        <w:tc>
          <w:tcPr>
            <w:tcW w:w="2194" w:type="dxa"/>
            <w:vMerge w:val="restart"/>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Подпрограмма, основное мероприятие(проект), направление расходов, мероприятие</w:t>
            </w:r>
          </w:p>
        </w:tc>
        <w:tc>
          <w:tcPr>
            <w:tcW w:w="1728" w:type="dxa"/>
            <w:vMerge w:val="restart"/>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Ответственный исполнитель, соисполнитель</w:t>
            </w:r>
          </w:p>
        </w:tc>
        <w:tc>
          <w:tcPr>
            <w:tcW w:w="1532" w:type="dxa"/>
            <w:vMerge w:val="restart"/>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Источник финансового обеспечения</w:t>
            </w:r>
          </w:p>
        </w:tc>
        <w:tc>
          <w:tcPr>
            <w:tcW w:w="3402" w:type="dxa"/>
            <w:gridSpan w:val="5"/>
            <w:tcBorders>
              <w:top w:val="single" w:sz="4" w:space="0" w:color="000000"/>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Код бюджетной классификации</w:t>
            </w:r>
          </w:p>
        </w:tc>
        <w:tc>
          <w:tcPr>
            <w:tcW w:w="3969" w:type="dxa"/>
            <w:gridSpan w:val="3"/>
            <w:tcBorders>
              <w:top w:val="single" w:sz="4" w:space="0" w:color="000000"/>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Объём средств на реализацию, рублей</w:t>
            </w:r>
          </w:p>
        </w:tc>
        <w:tc>
          <w:tcPr>
            <w:tcW w:w="2120" w:type="dxa"/>
            <w:vMerge w:val="restart"/>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Связь основного мероприятия, проекта(программы) с целевыми показателями (индикаторами) (порядковые номера показателей (индикаторов))</w:t>
            </w:r>
          </w:p>
        </w:tc>
      </w:tr>
      <w:tr w:rsidR="007669AF" w:rsidRPr="00AE18DE" w:rsidTr="006B440A">
        <w:trPr>
          <w:trHeight w:val="1795"/>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b/>
                <w:bC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b/>
                <w:bC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b/>
                <w:bC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b/>
                <w:bCs/>
                <w:color w:val="000000"/>
                <w:sz w:val="18"/>
                <w:szCs w:val="18"/>
              </w:rPr>
            </w:pPr>
          </w:p>
        </w:tc>
        <w:tc>
          <w:tcPr>
            <w:tcW w:w="709"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ГРБС</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ГП</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ПГП</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ОМ</w:t>
            </w:r>
          </w:p>
        </w:tc>
        <w:tc>
          <w:tcPr>
            <w:tcW w:w="992"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НР</w:t>
            </w:r>
          </w:p>
        </w:tc>
        <w:tc>
          <w:tcPr>
            <w:tcW w:w="1418"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2019 год</w:t>
            </w:r>
          </w:p>
        </w:tc>
        <w:tc>
          <w:tcPr>
            <w:tcW w:w="1275"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2020 год</w:t>
            </w:r>
          </w:p>
        </w:tc>
        <w:tc>
          <w:tcPr>
            <w:tcW w:w="1276"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b/>
                <w:bCs/>
                <w:color w:val="000000"/>
                <w:sz w:val="18"/>
                <w:szCs w:val="18"/>
              </w:rPr>
            </w:pPr>
            <w:r w:rsidRPr="002E75D5">
              <w:rPr>
                <w:rFonts w:ascii="Trebuchet MS" w:hAnsi="Trebuchet MS"/>
                <w:b/>
                <w:bCs/>
                <w:color w:val="000000"/>
                <w:sz w:val="18"/>
                <w:szCs w:val="18"/>
              </w:rPr>
              <w:t>2021 год</w:t>
            </w:r>
          </w:p>
        </w:tc>
        <w:tc>
          <w:tcPr>
            <w:tcW w:w="2120"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b/>
                <w:bCs/>
                <w:color w:val="000000"/>
                <w:sz w:val="18"/>
                <w:szCs w:val="18"/>
              </w:rPr>
            </w:pPr>
          </w:p>
        </w:tc>
      </w:tr>
      <w:tr w:rsidR="007669AF" w:rsidRPr="00AE18DE" w:rsidTr="006B440A">
        <w:trPr>
          <w:trHeight w:val="303"/>
        </w:trPr>
        <w:tc>
          <w:tcPr>
            <w:tcW w:w="940" w:type="dxa"/>
            <w:gridSpan w:val="2"/>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1</w:t>
            </w:r>
          </w:p>
        </w:tc>
        <w:tc>
          <w:tcPr>
            <w:tcW w:w="2194"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2</w:t>
            </w:r>
          </w:p>
        </w:tc>
        <w:tc>
          <w:tcPr>
            <w:tcW w:w="1728"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3</w:t>
            </w:r>
          </w:p>
        </w:tc>
        <w:tc>
          <w:tcPr>
            <w:tcW w:w="1532"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4</w:t>
            </w:r>
          </w:p>
        </w:tc>
        <w:tc>
          <w:tcPr>
            <w:tcW w:w="709"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5</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6</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7</w:t>
            </w:r>
          </w:p>
        </w:tc>
        <w:tc>
          <w:tcPr>
            <w:tcW w:w="567"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8</w:t>
            </w:r>
          </w:p>
        </w:tc>
        <w:tc>
          <w:tcPr>
            <w:tcW w:w="992"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9</w:t>
            </w:r>
          </w:p>
        </w:tc>
        <w:tc>
          <w:tcPr>
            <w:tcW w:w="1418"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10</w:t>
            </w:r>
          </w:p>
        </w:tc>
        <w:tc>
          <w:tcPr>
            <w:tcW w:w="1275"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11</w:t>
            </w:r>
          </w:p>
        </w:tc>
        <w:tc>
          <w:tcPr>
            <w:tcW w:w="1276"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12</w:t>
            </w:r>
          </w:p>
        </w:tc>
        <w:tc>
          <w:tcPr>
            <w:tcW w:w="2120" w:type="dxa"/>
            <w:tcBorders>
              <w:top w:val="nil"/>
              <w:left w:val="nil"/>
              <w:bottom w:val="single" w:sz="4" w:space="0" w:color="000000"/>
              <w:right w:val="single" w:sz="4" w:space="0" w:color="000000"/>
            </w:tcBorders>
            <w:vAlign w:val="center"/>
          </w:tcPr>
          <w:p w:rsidR="007669AF" w:rsidRPr="002E75D5" w:rsidRDefault="007669AF" w:rsidP="002E75D5">
            <w:pPr>
              <w:spacing w:after="0" w:line="240" w:lineRule="auto"/>
              <w:jc w:val="center"/>
              <w:rPr>
                <w:rFonts w:ascii="Trebuchet MS" w:hAnsi="Trebuchet MS"/>
                <w:color w:val="000000"/>
                <w:sz w:val="18"/>
                <w:szCs w:val="18"/>
              </w:rPr>
            </w:pPr>
            <w:r w:rsidRPr="002E75D5">
              <w:rPr>
                <w:rFonts w:ascii="Trebuchet MS" w:hAnsi="Trebuchet MS"/>
                <w:color w:val="000000"/>
                <w:sz w:val="18"/>
                <w:szCs w:val="18"/>
              </w:rPr>
              <w:t>13</w:t>
            </w:r>
          </w:p>
        </w:tc>
      </w:tr>
      <w:tr w:rsidR="007669AF" w:rsidRPr="00AE18DE" w:rsidTr="006B440A">
        <w:trPr>
          <w:trHeight w:val="400"/>
        </w:trPr>
        <w:tc>
          <w:tcPr>
            <w:tcW w:w="940" w:type="dxa"/>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 департамент здравоохранения Брянской области, департамент образования и науки Брянской области, департамент региональной безопасности Брянской области, департамент семьи, социальной и демографической политики Брянской области, департамент строительства Брянской области, управление физической культуры и спорта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41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10440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8 093 798,08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7 127 706,56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7 412 814,82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825</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10100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21 474 798,00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18 355 648,00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18 355 648,00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12020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6 100 093,00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4 100 093,00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4 100 093,00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10670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11291</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416 981 063,89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99 443,11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10230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97 026 972,00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44 419 537,00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12050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51180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43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17</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51200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2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726 367 307,78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602 485 228,56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602 793 936,82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1, 2, 3, 4, 5</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2194" w:type="dxa"/>
            <w:vMerge w:val="restart"/>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tc>
        <w:tc>
          <w:tcPr>
            <w:tcW w:w="1728" w:type="dxa"/>
            <w:vMerge w:val="restart"/>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 департамент здравоохранения Брянской области, департамент региональной безопасности Брянской области, департамент семьи, социальной и демографической политики Брянской области, управление физической культуры и спорта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54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4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92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nil"/>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66 294 313,00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61 175 163,00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61 175 163,00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10100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21 474 798,00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18 355 648,00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18 355 648,00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0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21 474 798,00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18 355 648,00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18 355 648,00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Противодействие злоупотреблению наркотиками и их незаконному обороту</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 департамент региональной безопасности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975"/>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1 350 000,00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11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2 600 000,00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2 600 000,00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2 600 000,00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приобретение алкометров, анализаторов и тест-полосок для проведения медицинского освидетельствования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1 000 000,00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1 000 000,00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1 000 000,00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1 000 000,00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1 000 000,00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1 000 000,00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Разработка и реализация детско-юношеской спортивной программы "Юный спецназовец" для несовершеннолетних лиц группы риска"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08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Проведение региональной спартакиады дворовых видов спорта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430 000,00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430 000,00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430 000,00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430 000,00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430 000,00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430 000,00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Организация и проведение мониторинга наркоситуации на территории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88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1.2.5.</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Организация и проведение зимнего фестиваля экстремальных видов спорта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1.2.6.</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Организация и проведение военно-спортивной игры "Камуфляж"</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1.2.7.</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Организация и проведение фестиваля молодежной уличной культуры "Lifestreet"</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1.2.8.</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Проведение антинаркотического месячника "Брянщина - жизнь без наркотиков"</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1.2.9.</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Оказание услуг по реабилитации наркозависимых</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218"/>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1.2.10.</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Проведение антинаркотических профилактических мероприятий с участием воспитанников клубов по месту жительства, относящихся к учреждениям дополнительного образования детей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14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Мероприятия по работе с семьей, детьми и молодежью</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 управление физической культуры и спорта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825</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89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466 500,00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466 500,00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466 500,00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организацию и проведение областной спартакиады среди несовершеннолетних, состоящих на учете в субъектах системы профилактики, безнадзорности и правонарушения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управление физической культуры и спорта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825</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98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34 000,00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34 000,00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34 000,00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38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290"/>
        </w:trPr>
        <w:tc>
          <w:tcPr>
            <w:tcW w:w="940" w:type="dxa"/>
            <w:gridSpan w:val="2"/>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34 000,00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34 000,00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34 000,00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Изготовление и размещение социальной рекламы на рекламных щитах, общественном транспорте и в других местах массового скопления молодежи по вопросам профилактики безнадзорности и правонарушений несовершеннолетних</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160 000,00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149 000,00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149 000,00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102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trHeight w:val="730"/>
        </w:trPr>
        <w:tc>
          <w:tcPr>
            <w:tcW w:w="940" w:type="dxa"/>
            <w:gridSpan w:val="2"/>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160 000,00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149 000,00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149 000,00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Организация и проведение областных мероприятий среди несовершеннолетних, состоящих на учете в субъектах системы профилактики и требующих помощи со стороны государства, органов и учреждений системы профилактики безнадзорности и правонарушения несовершеннолетних (акций, конкурсов, спартакиад, семинаров и др.). Приобретение ценных подарков.</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103 500,00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83 500,00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83 500,00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103 500,00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83 500,00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83 500,00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1.3.5.</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Подведение итогов деятельности органов и учреждений системы профилактики безнадзорности и правонарушений несовершеннолетних (проведение торжественных мероприятий, семинаров, совещаний, конкурсов). Приобретение сувенирной продукции, ценных подарков.</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администрация Губернатора Брянской области и Правительства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803</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69 000,00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4115"/>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69 000,00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12020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12020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35 552 922,00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0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35 552 922,00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4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Совершенствование системы профилактики правонарушений и усиление борьбы с преступностью</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 департамент семьи, социальной и демографической политики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5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6 100 093,00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4 100 093,00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4 100 093,00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2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6 200 093,00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4 200 093,00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4 200 093,00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Профилактика правонарушений и рецидивной преступности на территории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4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(изготовление) оборудования, технических средств, программного обеспечения, информационно-пропагандистских материалов, средств наглядной агитации, оказание услуг в целях профилактики преступлений и правонарушений, в том числе по линии терроризма и экстремизма на территории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3 850 000,00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1 850 000,00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1 850 000,00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3 850 000,00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1 850 000,00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1 850 000,00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Проведение конкурсов на звание "Лучшая народная дружина Брянской области" (в сфере охраны общественного порядка), "Лучший народный дружинник Брянской области" (в сфере охраны общественного порядка), материальное обеспечение деятельности народных дружин, их поощрение, личное страхование народных дружинников на период их участия в мероприятиях по охране общественного порядка"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750 093,00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750 093,00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750 093,00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750 093,00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750 093,00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750 093,00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семьи, социальной и демографической политики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821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0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4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Укрепление пожарной безопасности в населенных пунктах Брянкой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 департамент строительства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50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10670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11291</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416 981 063,89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425 164 299,98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374 813 242,00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374 813 242,00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6, 7, 8</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Организации дополнительного профессионального образования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10670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18"/>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10670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7 135 846,00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Бюджетные инвестиции в объекты капитальных вложений государственной собственности</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строительства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18"/>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Пожарное депо на 6 автомашин ПЧ-48 по адресу: Брянская область, Трубчевский район, г. Трубчевск, ул. Володарского, д. 2е</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строительства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331 345,09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Предоставление финансовой поддержки общественным объединениям пожарной охраны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11291</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716 045,00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716 045,00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716 045,00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716 045,00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416 981 063,89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366 961 351,00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4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416 981 063,89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366 961 351,00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366 961 351,00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Снижение рисков и смягчение последствий чрезвычайных ситуаций природного и техногенного характера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99 443,11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99 443,11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3.1.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Финансовое обеспечение центра обработки вызовов экстренных оперативных служб по единому номеру "112"</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12060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99 443,11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99 443,11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Выполнение мероприятий по гражданской обороне</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4.1.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Оповещение населения об опасностях, возникающих при ведении военных действий и возникновении чрезвычайных ситуаций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0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4.1.1.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Проведение военно-мобилизационного сбора с заместителями Губернатора Брянской области, руководящим составом администрации Губернатора Брянской области и Правительства Брянской области, руководителями исполнительных органов государственной власти Брянской области, главами администрации городских округов и муниципальных районов, председателями советов народных депутатов, депутатов законодательного органа государственной власти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57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Обеспечение первичного воинского учета на территориях, где отсутствуют военные комиссариаты</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18"/>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51180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Осуществление первичного воинского учета на территориях, где отсутствуют военные комиссариаты</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51180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Субвенции на осуществление первичного воинского учета на территориях, где отсутствуют военные комиссариаты</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15</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51180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29 937 700,00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6.</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Обеспечение реализации отдельных государственных полномочий Брянской области, включая переданные на региональный уровень полномочия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2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17</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51200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6.1.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17</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51200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6.1.1.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17</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51200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423 900,00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444 100,00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467 700,00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4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Подпрограмма "Построение и развитие аппаратно-программного комплекса "Безопасный город" на территории Брянской области, повышение безопасности дорожного движения"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 департамент образования и науки Брянской области, департамент региональной безопасности Брянской области, департамент строительства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10440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8 093 798,08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7 127 706,56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7 412 814,82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10230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97 026 972,00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44 419 537,00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12050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204 047 651,69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135 715 023,56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136 000 131,82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Повышение уровня общественной безопасности, правопорядка и безопасности среды обитания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10230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97 026 972,00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44 419 537,00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141 446 509,00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109 558 320,00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109 558 320,00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12, 13</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Учреждения, осуществляющие деятельность в сфере повышения уровня общественной безопасности, правопорядка и безопасности среды обитания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10230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97 026 972,00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104 848 486,00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97 026 972,00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104 848 486,00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104 848 486,00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Повышение уровня общественной безопасности, правопорядка и безопасности среды обитания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44 419 537,00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5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44 419 537,00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7.2.1.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необходимого оборудования, комплектующих для комплекса автоматизированной системы (КАС) повышения уровня защищенности граждан на улицах и в общественных местах на территории области, управление нарядами полиции, задействованными для охраны общественного порядка,услуг связи, с выполнением проектиро-вочных, монтажных, пуско-наладочных работ, обслуживанием КАС и обучением персонала, аренда мест в линейно-кабельных сооружениях для размещения оптико-волоконного кабеля, предназначенного для работы комплекса автоматизированной системы (КАС), в том числе уплата налога на имущество организаций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92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4 709 834,00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4 709 834,00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4 709 834,00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7.2.2.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установка, содержание и обслуживание специальных технических средств, используемых для выявления, фиксации и профилактики нарушений Правил дорожного движения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36 991 703,00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3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36 991 703,00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7.2.3.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Разработка проектно-сметной документации на создание опытных участков АПК "Безопасный город" на территории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2 718 000,00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2 718 000,00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Снижение рисков и смягчение последствий чрезвычайных ситуаций природного и техногенного характера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12050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14, 15</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Снижение рисков и смягчение последствий чрезвычайных ситуаций природного и техногенного характера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12050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Развитие и организация эксплуатации системы и обеспечения вызова экстренных оперативных служб по единому номеру "112" на базе единых дежурно-диспетчерских служб муниципальных образований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12050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4 751 812,00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7 502 508,00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Выполнение мероприятий по гражданской обороне</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16, 17</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Оповещение населения об опасностях, возникающих при ведении военных действий и возникновении чрезвычайных ситуаций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10 776 389,00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10 776 489,00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10 776 489,00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Эксплуатационно-техническое обслуживание региональной автоматизированной системы централизованного оповещения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3 736 950,00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3 736 950,00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3 736 950,00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3 736 950,00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3 736 950,00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3 736 950,00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9.1.2.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Эксплуатационно-техническое обслуживание оборудования региональной автоматизированной системы централизованного оповещения, расположенного на объектах филиала РТРС "Брянский ОРТПЦ"</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563 416,00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563 516,00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563 516,00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563 416,00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563 516,00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563 516,00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9.1.3.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Эксплуатационно-техническое обслуживание и размещение оборудования региональной автоматизированной системы централизованного оповещения Брянской области</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2 052 077,00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2 052 077,00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2 052 077,00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2 052 077,00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2 052 077,00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2 052 077,00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9.1.4.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Внесение дополнений в рабочий проект "Реконструкция региональной автоматизированной системы централизованного оповещения (РАСЦО) Брянской облати" по созданию комплексной системы экстренного оповещения населения об угрозе воникновения или о возникновении чрезвычайных ситуаций территорий Брянской области (КСЭОН)" (Стадия "Р"). Проведение проверки достоверности определения сметной стоимости объекта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24</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4 423 946,00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4 423 946,00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4 423 946,00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4 423 946,00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4 423 946,00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4 423 946,00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Региональный проект "Общесистемные меры развития дорожного хозяйства"</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18</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Повышение уровня общественной безопасности, правопорядка и безопасности среды обитания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установка, содержание и обслуживание специальных технических средств, используемых для выявления, фиксации и профилактики нарушений Правил дорожного движения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R2</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12110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26 396 183,60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Региональный проект "Безопасность дорожного движения"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 департамент образования и науки Брянской области, департамент региональной безопасности Брянской области, департамент строительства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10440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8 093 798,08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7 127 706,56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7 412 814,82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20 676 758,09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7 877 706,56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8 162 814,82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19, 20, 21, 22, 23, 24</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Станции скорой и неотложной помощи</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10440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11.1.1.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приобретение автотранспортных средств</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10440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9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11 423 120,01</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5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11.2.1.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Закупка автотранспорта, необходимого оборудования для проведения работ по ликвидации последствий совершения дорожно-транспортных происшествий</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региональной безопасности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842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12040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409 840,00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4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Повышение безопасности дорожного движения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 департамент образования и науки Брянской области, департамент строительства Брянской области</w:t>
            </w:r>
          </w:p>
        </w:tc>
        <w:tc>
          <w:tcPr>
            <w:tcW w:w="1532" w:type="dxa"/>
            <w:vMerge w:val="restart"/>
            <w:tcBorders>
              <w:top w:val="nil"/>
              <w:left w:val="single" w:sz="4" w:space="0" w:color="000000"/>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0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3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8 093 798,08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7 127 706,56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7 412 814,82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4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8 843 798,08</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7 877 706,56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8 162 814,82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приобретение оборудования</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здравоохранения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814</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18"/>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11.3.2.</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9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11.3.3.</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проведение областных массовых мероприятий по профилактике ДТП</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4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11.3.4.</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Субсидии государственным учреждениям на участие обучающихся образовательных организаций области во всероссийских конкурсах по профилактике детского дорожно-транспортного травматизма</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17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11.3.5.</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Оснащение участков улично-дорожной сети городов и населенных пунктов пешеходными ограждениями, в том числе в зоне пешеходных переходов</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строительства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2 569 734,80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2 691 000,00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2 798 640,00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6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2 569 734,80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2 691 000,00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2 798 640,00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11.3.6.</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Устройство (монтаж) светофорных объектов</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строительства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3 348 174,39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2 070 000,00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2 152 800,00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84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3 348 174,39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2 070 000,00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2 152 800,00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11.3.7.</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Устройство тротуаров в населенных пунктах</w:t>
            </w:r>
          </w:p>
        </w:tc>
        <w:tc>
          <w:tcPr>
            <w:tcW w:w="1728" w:type="dxa"/>
            <w:tcBorders>
              <w:top w:val="nil"/>
              <w:left w:val="nil"/>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строительства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819</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2 175 888,89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2 366 706,56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2 461 374,82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1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2 175 888,89</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2 366 706,56</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2 461 374,82</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11.3.8.</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0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11.3.9.</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Изготовление и распространение световозвращающих приспособлений среди дошкольников и учащихся младших классов образовательных организаций</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25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100 000,00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11.3.10.</w:t>
            </w:r>
          </w:p>
        </w:tc>
        <w:tc>
          <w:tcPr>
            <w:tcW w:w="2194"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tc>
        <w:tc>
          <w:tcPr>
            <w:tcW w:w="1728" w:type="dxa"/>
            <w:vMerge w:val="restart"/>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департамент образования и науки Брянской области</w:t>
            </w: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областного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816</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02</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R3</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16190</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158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поступления из федерального бюджета</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средства местных бюджетов</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730"/>
        </w:trPr>
        <w:tc>
          <w:tcPr>
            <w:tcW w:w="940" w:type="dxa"/>
            <w:tcBorders>
              <w:top w:val="nil"/>
              <w:left w:val="single" w:sz="4" w:space="0" w:color="000000"/>
              <w:bottom w:val="nil"/>
              <w:right w:val="single" w:sz="4" w:space="0" w:color="000000"/>
            </w:tcBorders>
            <w:shd w:val="clear" w:color="FFFFFF" w:fill="FFFFFF"/>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внебюджетные источники</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color w:val="000000"/>
                <w:sz w:val="18"/>
                <w:szCs w:val="18"/>
              </w:rPr>
            </w:pPr>
            <w:r w:rsidRPr="002E75D5">
              <w:rPr>
                <w:rFonts w:ascii="Trebuchet MS" w:hAnsi="Trebuchet MS"/>
                <w:color w:val="000000"/>
                <w:sz w:val="18"/>
                <w:szCs w:val="18"/>
              </w:rPr>
              <w:t>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90"/>
        </w:trPr>
        <w:tc>
          <w:tcPr>
            <w:tcW w:w="940" w:type="dxa"/>
            <w:tcBorders>
              <w:top w:val="nil"/>
              <w:left w:val="single" w:sz="4" w:space="0" w:color="000000"/>
              <w:bottom w:val="single" w:sz="4" w:space="0" w:color="000000"/>
              <w:right w:val="single" w:sz="4" w:space="0" w:color="000000"/>
            </w:tcBorders>
            <w:shd w:val="clear" w:color="FFFFFF" w:fill="FFFFFF"/>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2194"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728" w:type="dxa"/>
            <w:vMerge/>
            <w:tcBorders>
              <w:top w:val="nil"/>
              <w:left w:val="single" w:sz="4" w:space="0" w:color="000000"/>
              <w:bottom w:val="single" w:sz="4" w:space="0" w:color="000000"/>
              <w:right w:val="single" w:sz="4" w:space="0" w:color="000000"/>
            </w:tcBorders>
            <w:vAlign w:val="center"/>
          </w:tcPr>
          <w:p w:rsidR="007669AF" w:rsidRPr="002E75D5" w:rsidRDefault="007669AF" w:rsidP="002E75D5">
            <w:pPr>
              <w:spacing w:after="0" w:line="240" w:lineRule="auto"/>
              <w:rPr>
                <w:rFonts w:ascii="Trebuchet MS" w:hAnsi="Trebuchet MS"/>
                <w:color w:val="000000"/>
                <w:sz w:val="18"/>
                <w:szCs w:val="18"/>
              </w:rPr>
            </w:pPr>
          </w:p>
        </w:tc>
        <w:tc>
          <w:tcPr>
            <w:tcW w:w="153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итого</w:t>
            </w:r>
          </w:p>
        </w:tc>
        <w:tc>
          <w:tcPr>
            <w:tcW w:w="709"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567"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992"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b/>
                <w:bCs/>
                <w:color w:val="000000"/>
                <w:sz w:val="18"/>
                <w:szCs w:val="18"/>
              </w:rPr>
            </w:pPr>
            <w:r w:rsidRPr="002E75D5">
              <w:rPr>
                <w:rFonts w:ascii="Trebuchet MS" w:hAnsi="Trebuchet MS"/>
                <w:b/>
                <w:bCs/>
                <w:color w:val="000000"/>
                <w:sz w:val="18"/>
                <w:szCs w:val="18"/>
              </w:rPr>
              <w:t> </w:t>
            </w:r>
          </w:p>
        </w:tc>
        <w:tc>
          <w:tcPr>
            <w:tcW w:w="1418"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5"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1276"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jc w:val="right"/>
              <w:rPr>
                <w:rFonts w:ascii="Trebuchet MS" w:hAnsi="Trebuchet MS"/>
                <w:b/>
                <w:bCs/>
                <w:color w:val="000000"/>
                <w:sz w:val="18"/>
                <w:szCs w:val="18"/>
              </w:rPr>
            </w:pPr>
            <w:r w:rsidRPr="002E75D5">
              <w:rPr>
                <w:rFonts w:ascii="Trebuchet MS" w:hAnsi="Trebuchet MS"/>
                <w:b/>
                <w:bCs/>
                <w:color w:val="000000"/>
                <w:sz w:val="18"/>
                <w:szCs w:val="18"/>
              </w:rPr>
              <w:t>50 000,00</w:t>
            </w:r>
          </w:p>
        </w:tc>
        <w:tc>
          <w:tcPr>
            <w:tcW w:w="2120" w:type="dxa"/>
            <w:tcBorders>
              <w:top w:val="nil"/>
              <w:left w:val="nil"/>
              <w:bottom w:val="single" w:sz="4" w:space="0" w:color="000000"/>
              <w:right w:val="single" w:sz="4" w:space="0" w:color="000000"/>
            </w:tcBorders>
            <w:shd w:val="clear" w:color="FFFFFF" w:fill="FFFFFF"/>
            <w:vAlign w:val="center"/>
          </w:tcPr>
          <w:p w:rsidR="007669AF" w:rsidRPr="002E75D5" w:rsidRDefault="007669AF" w:rsidP="002E75D5">
            <w:pPr>
              <w:spacing w:after="0" w:line="240" w:lineRule="auto"/>
              <w:rPr>
                <w:rFonts w:ascii="Trebuchet MS" w:hAnsi="Trebuchet MS"/>
                <w:color w:val="000000"/>
                <w:sz w:val="18"/>
                <w:szCs w:val="18"/>
              </w:rPr>
            </w:pPr>
            <w:r w:rsidRPr="002E75D5">
              <w:rPr>
                <w:rFonts w:ascii="Trebuchet MS" w:hAnsi="Trebuchet MS"/>
                <w:color w:val="000000"/>
                <w:sz w:val="18"/>
                <w:szCs w:val="18"/>
              </w:rPr>
              <w:t> </w:t>
            </w:r>
          </w:p>
        </w:tc>
      </w:tr>
      <w:tr w:rsidR="007669AF" w:rsidRPr="00AE18DE" w:rsidTr="006B440A">
        <w:trPr>
          <w:gridBefore w:val="1"/>
          <w:trHeight w:val="260"/>
        </w:trPr>
        <w:tc>
          <w:tcPr>
            <w:tcW w:w="940"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2194"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728"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532"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709"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992"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418"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275"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276"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2120"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r>
      <w:tr w:rsidR="007669AF" w:rsidRPr="00AE18DE" w:rsidTr="006B440A">
        <w:trPr>
          <w:gridBefore w:val="1"/>
          <w:trHeight w:val="260"/>
        </w:trPr>
        <w:tc>
          <w:tcPr>
            <w:tcW w:w="940"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2194"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728"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532"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709"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567"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992"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418"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275"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1276"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c>
          <w:tcPr>
            <w:tcW w:w="2120" w:type="dxa"/>
            <w:tcBorders>
              <w:top w:val="nil"/>
              <w:left w:val="nil"/>
              <w:bottom w:val="nil"/>
              <w:right w:val="nil"/>
            </w:tcBorders>
          </w:tcPr>
          <w:p w:rsidR="007669AF" w:rsidRPr="002E75D5" w:rsidRDefault="007669AF" w:rsidP="002E75D5">
            <w:pPr>
              <w:spacing w:after="0" w:line="240" w:lineRule="auto"/>
              <w:rPr>
                <w:rFonts w:ascii="Times New Roman" w:hAnsi="Times New Roman"/>
                <w:color w:val="000000"/>
                <w:sz w:val="20"/>
                <w:szCs w:val="20"/>
              </w:rPr>
            </w:pPr>
          </w:p>
        </w:tc>
      </w:tr>
    </w:tbl>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pPr>
    </w:p>
    <w:p w:rsidR="007669AF" w:rsidRDefault="007669AF">
      <w:pPr>
        <w:spacing w:after="0" w:line="240" w:lineRule="auto"/>
        <w:ind w:firstLine="708"/>
        <w:jc w:val="both"/>
        <w:rPr>
          <w:rFonts w:ascii="Times New Roman" w:hAnsi="Times New Roman"/>
          <w:sz w:val="28"/>
        </w:rPr>
        <w:sectPr w:rsidR="007669AF" w:rsidSect="006B440A">
          <w:pgSz w:w="16838" w:h="11906" w:orient="landscape"/>
          <w:pgMar w:top="851" w:right="1134" w:bottom="1701" w:left="1134" w:header="709" w:footer="709" w:gutter="0"/>
          <w:cols w:space="708"/>
          <w:titlePg/>
          <w:docGrid w:linePitch="360"/>
        </w:sectPr>
      </w:pPr>
    </w:p>
    <w:p w:rsidR="007669AF" w:rsidRPr="00683FA8" w:rsidRDefault="007669AF" w:rsidP="002E75D5">
      <w:pPr>
        <w:ind w:firstLine="709"/>
        <w:jc w:val="center"/>
        <w:textAlignment w:val="baseline"/>
        <w:outlineLvl w:val="0"/>
        <w:rPr>
          <w:rFonts w:ascii="Times New Roman" w:hAnsi="Times New Roman"/>
          <w:spacing w:val="-2"/>
          <w:sz w:val="28"/>
          <w:szCs w:val="28"/>
        </w:rPr>
      </w:pPr>
      <w:r w:rsidRPr="00683FA8">
        <w:rPr>
          <w:rFonts w:ascii="Times New Roman" w:hAnsi="Times New Roman"/>
          <w:spacing w:val="-2"/>
          <w:sz w:val="28"/>
          <w:szCs w:val="28"/>
        </w:rPr>
        <w:t xml:space="preserve"> ПОЯСНИТЕЛЬНАЯ ЗАПИСКА</w:t>
      </w:r>
    </w:p>
    <w:p w:rsidR="007669AF" w:rsidRPr="00683FA8" w:rsidRDefault="007669AF" w:rsidP="002E75D5">
      <w:pPr>
        <w:ind w:firstLine="709"/>
        <w:jc w:val="center"/>
        <w:textAlignment w:val="baseline"/>
        <w:outlineLvl w:val="0"/>
        <w:rPr>
          <w:rFonts w:ascii="Times New Roman" w:hAnsi="Times New Roman"/>
          <w:spacing w:val="-2"/>
          <w:sz w:val="28"/>
          <w:szCs w:val="28"/>
        </w:rPr>
      </w:pPr>
      <w:r w:rsidRPr="00683FA8">
        <w:rPr>
          <w:rFonts w:ascii="Times New Roman" w:hAnsi="Times New Roman"/>
          <w:spacing w:val="-2"/>
          <w:sz w:val="28"/>
          <w:szCs w:val="28"/>
        </w:rPr>
        <w:t>к  проекту  Постановления Правительства Брянской области « О внесении изменений в государственную программу «Профилактика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p>
    <w:p w:rsidR="007669AF" w:rsidRPr="00683FA8" w:rsidRDefault="007669AF" w:rsidP="002E75D5">
      <w:pPr>
        <w:tabs>
          <w:tab w:val="left" w:pos="851"/>
        </w:tabs>
        <w:ind w:firstLine="709"/>
        <w:jc w:val="both"/>
        <w:rPr>
          <w:rFonts w:ascii="Times New Roman" w:hAnsi="Times New Roman"/>
          <w:sz w:val="28"/>
          <w:szCs w:val="28"/>
        </w:rPr>
      </w:pPr>
      <w:r w:rsidRPr="00683FA8">
        <w:rPr>
          <w:rFonts w:ascii="Times New Roman" w:hAnsi="Times New Roman"/>
          <w:sz w:val="28"/>
          <w:szCs w:val="28"/>
        </w:rPr>
        <w:t>Проект постановления Правительства Брянской области «О внесении изменений в государственную  программу «Профилактика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 подготовлен в соответствии с Постановлениями Правительства Брянской области от 28 октября 2013 года № 608-п «Об утверждении Порядка разработки, реализации иоценки эффективности государственных программ Брянской области» в связи с принятием Закона</w:t>
      </w:r>
      <w:r w:rsidRPr="00683FA8">
        <w:rPr>
          <w:rFonts w:ascii="Times New Roman" w:hAnsi="Times New Roman"/>
          <w:sz w:val="28"/>
          <w:szCs w:val="28"/>
          <w:lang w:eastAsia="en-US"/>
        </w:rPr>
        <w:t>Брянской области от 2 декабря 2019 года № 101-З «О внесении изменений в Закон Брянской области«Об областном бюджете на 2019 год и на плановый период 2020 и 2021 годов»</w:t>
      </w:r>
      <w:r w:rsidRPr="00683FA8">
        <w:rPr>
          <w:rFonts w:ascii="Times New Roman" w:hAnsi="Times New Roman"/>
          <w:sz w:val="28"/>
          <w:szCs w:val="28"/>
        </w:rPr>
        <w:t>.</w:t>
      </w:r>
    </w:p>
    <w:p w:rsidR="007669AF" w:rsidRPr="00683FA8" w:rsidRDefault="007669AF" w:rsidP="002E75D5">
      <w:pPr>
        <w:ind w:firstLine="709"/>
        <w:jc w:val="both"/>
        <w:rPr>
          <w:rFonts w:ascii="Times New Roman" w:hAnsi="Times New Roman"/>
          <w:spacing w:val="-8"/>
          <w:sz w:val="28"/>
          <w:szCs w:val="28"/>
        </w:rPr>
      </w:pPr>
      <w:r w:rsidRPr="00683FA8">
        <w:rPr>
          <w:rFonts w:ascii="Times New Roman" w:hAnsi="Times New Roman"/>
          <w:spacing w:val="-8"/>
          <w:sz w:val="28"/>
          <w:szCs w:val="28"/>
        </w:rPr>
        <w:t>Общая сумма финансовых средств, необходимых для реализации государственной программы составляет: 2019 год – 726 367 307,78 рубля, 2020 год – 602 485 228,56 рубля, 2021 год – 602 793 936,82 рубля.</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 xml:space="preserve">В соответствии с внесением изменений в </w:t>
      </w:r>
      <w:r w:rsidRPr="00683FA8">
        <w:rPr>
          <w:rFonts w:ascii="Times New Roman" w:hAnsi="Times New Roman"/>
          <w:sz w:val="28"/>
          <w:szCs w:val="28"/>
        </w:rPr>
        <w:t xml:space="preserve">Закон </w:t>
      </w:r>
      <w:r w:rsidRPr="00683FA8">
        <w:rPr>
          <w:rFonts w:ascii="Times New Roman" w:hAnsi="Times New Roman"/>
          <w:sz w:val="28"/>
          <w:szCs w:val="28"/>
          <w:lang w:eastAsia="en-US"/>
        </w:rPr>
        <w:t>Брянской области от               2 декабря 2019 года № 101-З «О внесении изменений в Закон Брянской области«Об областном бюджете на 2019 год и на плановый период 2020 и 2021 годов»</w:t>
      </w:r>
      <w:r w:rsidRPr="00683FA8">
        <w:rPr>
          <w:rFonts w:ascii="Times New Roman" w:hAnsi="Times New Roman"/>
          <w:spacing w:val="-8"/>
          <w:sz w:val="28"/>
          <w:szCs w:val="28"/>
        </w:rPr>
        <w:t>произошло перераспределение бюджетных ассигнований по департаменту региональной безопасности Брянской области ипо подведомственным учреждениям департамента – ГКУ Брянской области «Брянский пожарно-спасательный центр» и ГКУ Брянской области «Безопасный регион».</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По смете департамента региональной безопасности Брянской области были произведены изменения по уменьшению бюджетных ассигнований на общую сумму 285 000,00 рублей, в том числе  по: услугам связи; работам и услугам по содержанию имущества; прочие работы, услуги; уплата налога на имущество организаций и земельного налога. Увеличение бюджетных ассигнований на сумму  285 000,00 рублей произведено в связи с необходимостью проведения судебной экспертизы по иску ПАО «Ростелеком».</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По смете ГКУ Брянской области «Безопасный регион» были произведены изменения по уменьшению бюджетных ассигнований на общую сумму      8 988 179,00 рублей, в том числе по следующим статьям расхода: услугам связи;  коммунальным услугам; прочие работы, услуги.</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Также уменьшились ассигнования по снижению рисков и смягчение последствий чрезвычайных ситуаций природного и техногенного характера по услугам обеспечения функционирования и обслуживания «Системы-112», а также снизилась стоимость на приобретение средств видеоотображения коллективного пользования для Центра обработки вызовов «112»  в результате проведенного анализа.</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По ГКУ Брянской области «Брянский пожарно-спасательный центр» произведено увеличение бюджетных ассигнований на общую сумму            8 988 179,00 рублей по обеспечению пожарной безопасности на: коммунальные услуги; увеличение стоимости основных средств; увеличению стоимости материальных запасов. Также увеличение бюджетных ассигнований произошло по защите населения и территорий от чрезвычайных ситуаций природного и техногенного характера, гражданская оборона по: коммунальным услугам и  увеличению стоимости материальных запасов.</w:t>
      </w:r>
    </w:p>
    <w:p w:rsidR="007669AF" w:rsidRPr="00683FA8" w:rsidRDefault="007669AF" w:rsidP="002E75D5">
      <w:pPr>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По региональному проекту «Общесистемные меры развития дорожного хозяйства» по мероприятию п.10.1.1. «Приобретение, установка, содержание и обслуживание специальных технических средств, используемых для выявления, фиксации и профилактики нарушений Правил дорожного движения» уменьшились бюджетные ассигнования, в результате сложившейся экономии по торгам на сумму 1 603 816,40 рублей.</w:t>
      </w:r>
    </w:p>
    <w:p w:rsidR="007669AF" w:rsidRPr="00683FA8" w:rsidRDefault="007669AF" w:rsidP="002E75D5">
      <w:pPr>
        <w:tabs>
          <w:tab w:val="left" w:pos="851"/>
        </w:tabs>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 xml:space="preserve"> В соответствии с письмом департамента строительства Брянской области от 15 ноября 2019 года № 6606-ДС изменения произведены по п.2.2. «Бюджетные инвестиции в объекты капитальных вложений государственной собственности» - Пожарное депо на 6 автомашин ПЧ-48 по адресу: Брянская область, Трубчевский район, г. Трубчевск,  ул. Володарского, д.2е по уменьшению бюджетных ассигнований на сумму 168 654,91 рублей.</w:t>
      </w:r>
    </w:p>
    <w:p w:rsidR="007669AF" w:rsidRPr="00683FA8" w:rsidRDefault="007669AF" w:rsidP="002E75D5">
      <w:pPr>
        <w:tabs>
          <w:tab w:val="left" w:pos="851"/>
        </w:tabs>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В соответствии с письмом от  казенного учреждения «Управление автомобильных дорог» от 25 ноября 2019 года  по п.11. Региональный проект «Безопасность дорожного движения» произошли изменения в сторону уменьшения бюджетных ассигнований на общую сумму 462 105,33 рублей, в том числе  по следующим подпунктам:</w:t>
      </w:r>
    </w:p>
    <w:p w:rsidR="007669AF" w:rsidRPr="00683FA8" w:rsidRDefault="007669AF" w:rsidP="002E75D5">
      <w:pPr>
        <w:tabs>
          <w:tab w:val="left" w:pos="851"/>
        </w:tabs>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п. 11.3.5.«Оснащение участков улично-дорожной сети городов и населенных пунктов пешеходными ограждениями, в том числе в зоне пешеходных переходов» бюджетные ассигнования уменьшены – экономия средств по итогам изготовления проектной документации на сумму 30 265,20 рублей;</w:t>
      </w:r>
    </w:p>
    <w:p w:rsidR="007669AF" w:rsidRPr="00683FA8" w:rsidRDefault="007669AF" w:rsidP="002E75D5">
      <w:pPr>
        <w:tabs>
          <w:tab w:val="left" w:pos="851"/>
        </w:tabs>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 xml:space="preserve"> п.11.3.6.«Устройство (монтаж) светофорных объектов» бюджетные ассигнования уменьшены – экономия средств по итогам изготовления проектной документации на сумму 321 056,02 рублей;</w:t>
      </w:r>
    </w:p>
    <w:p w:rsidR="007669AF" w:rsidRPr="00683FA8" w:rsidRDefault="007669AF" w:rsidP="002E75D5">
      <w:pPr>
        <w:tabs>
          <w:tab w:val="left" w:pos="851"/>
        </w:tabs>
        <w:ind w:firstLine="709"/>
        <w:jc w:val="both"/>
        <w:textAlignment w:val="baseline"/>
        <w:outlineLvl w:val="0"/>
        <w:rPr>
          <w:rFonts w:ascii="Times New Roman" w:hAnsi="Times New Roman"/>
          <w:spacing w:val="-8"/>
          <w:sz w:val="28"/>
          <w:szCs w:val="28"/>
        </w:rPr>
      </w:pPr>
      <w:r w:rsidRPr="00683FA8">
        <w:rPr>
          <w:rFonts w:ascii="Times New Roman" w:hAnsi="Times New Roman"/>
          <w:spacing w:val="-8"/>
          <w:sz w:val="28"/>
          <w:szCs w:val="28"/>
        </w:rPr>
        <w:t xml:space="preserve"> п.11.3.7.«Устройство тротуаров в населенных пунктах»бюджетные ассигнования уменьшены – экономия средств по итогам торгов на сумму               110 784,11 рублей.</w:t>
      </w:r>
    </w:p>
    <w:sectPr w:rsidR="007669AF" w:rsidRPr="00683FA8" w:rsidSect="004B2CF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AF" w:rsidRDefault="007669AF" w:rsidP="00A873F2">
      <w:pPr>
        <w:spacing w:after="0" w:line="240" w:lineRule="auto"/>
      </w:pPr>
      <w:r>
        <w:separator/>
      </w:r>
    </w:p>
  </w:endnote>
  <w:endnote w:type="continuationSeparator" w:id="0">
    <w:p w:rsidR="007669AF" w:rsidRDefault="007669AF" w:rsidP="00A87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AF" w:rsidRDefault="007669AF" w:rsidP="00A873F2">
      <w:pPr>
        <w:spacing w:after="0" w:line="240" w:lineRule="auto"/>
      </w:pPr>
      <w:r>
        <w:separator/>
      </w:r>
    </w:p>
  </w:footnote>
  <w:footnote w:type="continuationSeparator" w:id="0">
    <w:p w:rsidR="007669AF" w:rsidRDefault="007669AF" w:rsidP="00A87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AF" w:rsidRDefault="007669AF">
    <w:pPr>
      <w:pStyle w:val="Header"/>
      <w:jc w:val="center"/>
    </w:pPr>
    <w:fldSimple w:instr="PAGE   \* MERGEFORMAT">
      <w:r>
        <w:rPr>
          <w:noProof/>
        </w:rPr>
        <w:t>8</w:t>
      </w:r>
    </w:fldSimple>
  </w:p>
  <w:p w:rsidR="007669AF" w:rsidRDefault="007669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48E"/>
    <w:rsid w:val="0001395C"/>
    <w:rsid w:val="000218C3"/>
    <w:rsid w:val="00096125"/>
    <w:rsid w:val="000A5EBC"/>
    <w:rsid w:val="000A7B2F"/>
    <w:rsid w:val="000C5877"/>
    <w:rsid w:val="00132536"/>
    <w:rsid w:val="00147C06"/>
    <w:rsid w:val="001614E5"/>
    <w:rsid w:val="00173561"/>
    <w:rsid w:val="00173756"/>
    <w:rsid w:val="00182827"/>
    <w:rsid w:val="001A631B"/>
    <w:rsid w:val="001C7796"/>
    <w:rsid w:val="00222280"/>
    <w:rsid w:val="002257AD"/>
    <w:rsid w:val="00243ED9"/>
    <w:rsid w:val="00277585"/>
    <w:rsid w:val="002970ED"/>
    <w:rsid w:val="002E75D5"/>
    <w:rsid w:val="003020EA"/>
    <w:rsid w:val="003321F0"/>
    <w:rsid w:val="00343EAC"/>
    <w:rsid w:val="003871EF"/>
    <w:rsid w:val="003D548E"/>
    <w:rsid w:val="003F31EB"/>
    <w:rsid w:val="0042699B"/>
    <w:rsid w:val="0045298E"/>
    <w:rsid w:val="00454934"/>
    <w:rsid w:val="0049191F"/>
    <w:rsid w:val="004A2C5B"/>
    <w:rsid w:val="004B2CFD"/>
    <w:rsid w:val="004B7266"/>
    <w:rsid w:val="004E70A8"/>
    <w:rsid w:val="00537123"/>
    <w:rsid w:val="0054092A"/>
    <w:rsid w:val="005719E3"/>
    <w:rsid w:val="00581AD2"/>
    <w:rsid w:val="005866E0"/>
    <w:rsid w:val="005E0D2D"/>
    <w:rsid w:val="005E6E8A"/>
    <w:rsid w:val="006141B8"/>
    <w:rsid w:val="00615463"/>
    <w:rsid w:val="00667D8E"/>
    <w:rsid w:val="00682D3D"/>
    <w:rsid w:val="00683FA8"/>
    <w:rsid w:val="006B05FD"/>
    <w:rsid w:val="006B440A"/>
    <w:rsid w:val="006C4A7A"/>
    <w:rsid w:val="006E0686"/>
    <w:rsid w:val="006F0071"/>
    <w:rsid w:val="0074380F"/>
    <w:rsid w:val="00753967"/>
    <w:rsid w:val="007669AF"/>
    <w:rsid w:val="0078136E"/>
    <w:rsid w:val="007A0243"/>
    <w:rsid w:val="007A5C5D"/>
    <w:rsid w:val="007C0126"/>
    <w:rsid w:val="00804D35"/>
    <w:rsid w:val="00857CC6"/>
    <w:rsid w:val="008610EA"/>
    <w:rsid w:val="00891CB6"/>
    <w:rsid w:val="008C2FD2"/>
    <w:rsid w:val="008C3597"/>
    <w:rsid w:val="008D234A"/>
    <w:rsid w:val="008F6155"/>
    <w:rsid w:val="009308CC"/>
    <w:rsid w:val="00983E76"/>
    <w:rsid w:val="00986AC7"/>
    <w:rsid w:val="00993A0C"/>
    <w:rsid w:val="009B4DF4"/>
    <w:rsid w:val="00A03844"/>
    <w:rsid w:val="00A2536D"/>
    <w:rsid w:val="00A3037F"/>
    <w:rsid w:val="00A50B24"/>
    <w:rsid w:val="00A81498"/>
    <w:rsid w:val="00A873F2"/>
    <w:rsid w:val="00AA211B"/>
    <w:rsid w:val="00AC0E6A"/>
    <w:rsid w:val="00AE18DE"/>
    <w:rsid w:val="00B13513"/>
    <w:rsid w:val="00B62292"/>
    <w:rsid w:val="00B67125"/>
    <w:rsid w:val="00BB0FC8"/>
    <w:rsid w:val="00BE2C49"/>
    <w:rsid w:val="00BF0E83"/>
    <w:rsid w:val="00BF27CF"/>
    <w:rsid w:val="00C50949"/>
    <w:rsid w:val="00C838FE"/>
    <w:rsid w:val="00CC6C03"/>
    <w:rsid w:val="00CE4B8B"/>
    <w:rsid w:val="00D276E8"/>
    <w:rsid w:val="00D51CB3"/>
    <w:rsid w:val="00D634D9"/>
    <w:rsid w:val="00D70F8A"/>
    <w:rsid w:val="00D91D43"/>
    <w:rsid w:val="00DA7F31"/>
    <w:rsid w:val="00DE0272"/>
    <w:rsid w:val="00E41803"/>
    <w:rsid w:val="00E97C54"/>
    <w:rsid w:val="00EA5CE6"/>
    <w:rsid w:val="00ED7CA1"/>
    <w:rsid w:val="00EE36A8"/>
    <w:rsid w:val="00EE48B8"/>
    <w:rsid w:val="00EF61AA"/>
    <w:rsid w:val="00F1721B"/>
    <w:rsid w:val="00F22591"/>
    <w:rsid w:val="00F5620D"/>
    <w:rsid w:val="00F63282"/>
    <w:rsid w:val="00F938D7"/>
    <w:rsid w:val="00FC1056"/>
    <w:rsid w:val="00FF1D82"/>
    <w:rsid w:val="00FF7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796"/>
    <w:rPr>
      <w:rFonts w:ascii="Tahoma" w:hAnsi="Tahoma" w:cs="Tahoma"/>
      <w:sz w:val="16"/>
      <w:szCs w:val="16"/>
    </w:rPr>
  </w:style>
  <w:style w:type="paragraph" w:styleId="Header">
    <w:name w:val="header"/>
    <w:basedOn w:val="Normal"/>
    <w:link w:val="HeaderChar"/>
    <w:uiPriority w:val="99"/>
    <w:rsid w:val="00A873F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73F2"/>
    <w:rPr>
      <w:rFonts w:cs="Times New Roman"/>
    </w:rPr>
  </w:style>
  <w:style w:type="paragraph" w:styleId="Footer">
    <w:name w:val="footer"/>
    <w:basedOn w:val="Normal"/>
    <w:link w:val="FooterChar"/>
    <w:uiPriority w:val="99"/>
    <w:rsid w:val="00A873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73F2"/>
    <w:rPr>
      <w:rFonts w:cs="Times New Roman"/>
    </w:rPr>
  </w:style>
  <w:style w:type="character" w:styleId="Hyperlink">
    <w:name w:val="Hyperlink"/>
    <w:basedOn w:val="DefaultParagraphFont"/>
    <w:uiPriority w:val="99"/>
    <w:semiHidden/>
    <w:rsid w:val="002E75D5"/>
    <w:rPr>
      <w:rFonts w:cs="Times New Roman"/>
      <w:color w:val="0000FF"/>
      <w:u w:val="single"/>
    </w:rPr>
  </w:style>
  <w:style w:type="character" w:styleId="FollowedHyperlink">
    <w:name w:val="FollowedHyperlink"/>
    <w:basedOn w:val="DefaultParagraphFont"/>
    <w:uiPriority w:val="99"/>
    <w:semiHidden/>
    <w:rsid w:val="002E75D5"/>
    <w:rPr>
      <w:rFonts w:cs="Times New Roman"/>
      <w:color w:val="800080"/>
      <w:u w:val="single"/>
    </w:rPr>
  </w:style>
  <w:style w:type="paragraph" w:customStyle="1" w:styleId="xl65">
    <w:name w:val="xl65"/>
    <w:basedOn w:val="Normal"/>
    <w:uiPriority w:val="99"/>
    <w:rsid w:val="002E75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rebuchet MS" w:hAnsi="Trebuchet MS"/>
      <w:b/>
      <w:bCs/>
      <w:sz w:val="18"/>
      <w:szCs w:val="18"/>
    </w:rPr>
  </w:style>
  <w:style w:type="paragraph" w:customStyle="1" w:styleId="xl66">
    <w:name w:val="xl66"/>
    <w:basedOn w:val="Normal"/>
    <w:uiPriority w:val="99"/>
    <w:rsid w:val="002E75D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rebuchet MS" w:hAnsi="Trebuchet MS"/>
      <w:sz w:val="18"/>
      <w:szCs w:val="18"/>
    </w:rPr>
  </w:style>
  <w:style w:type="paragraph" w:customStyle="1" w:styleId="xl67">
    <w:name w:val="xl67"/>
    <w:basedOn w:val="Normal"/>
    <w:uiPriority w:val="99"/>
    <w:rsid w:val="002E75D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pPr>
    <w:rPr>
      <w:rFonts w:ascii="Trebuchet MS" w:hAnsi="Trebuchet MS"/>
      <w:sz w:val="18"/>
      <w:szCs w:val="18"/>
    </w:rPr>
  </w:style>
  <w:style w:type="paragraph" w:customStyle="1" w:styleId="xl68">
    <w:name w:val="xl68"/>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sz w:val="18"/>
      <w:szCs w:val="18"/>
    </w:rPr>
  </w:style>
  <w:style w:type="paragraph" w:customStyle="1" w:styleId="xl69">
    <w:name w:val="xl69"/>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sz w:val="18"/>
      <w:szCs w:val="18"/>
    </w:rPr>
  </w:style>
  <w:style w:type="paragraph" w:customStyle="1" w:styleId="xl70">
    <w:name w:val="xl70"/>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sz w:val="18"/>
      <w:szCs w:val="18"/>
    </w:rPr>
  </w:style>
  <w:style w:type="paragraph" w:customStyle="1" w:styleId="xl71">
    <w:name w:val="xl71"/>
    <w:basedOn w:val="Normal"/>
    <w:uiPriority w:val="99"/>
    <w:rsid w:val="002E75D5"/>
    <w:pPr>
      <w:pBdr>
        <w:left w:val="single" w:sz="4" w:space="0" w:color="000000"/>
        <w:right w:val="single" w:sz="4" w:space="0" w:color="000000"/>
      </w:pBdr>
      <w:shd w:val="clear" w:color="FFFFFF" w:fill="FFFFFF"/>
      <w:spacing w:before="100" w:beforeAutospacing="1" w:after="100" w:afterAutospacing="1" w:line="240" w:lineRule="auto"/>
    </w:pPr>
    <w:rPr>
      <w:rFonts w:ascii="Trebuchet MS" w:hAnsi="Trebuchet MS"/>
      <w:sz w:val="18"/>
      <w:szCs w:val="18"/>
    </w:rPr>
  </w:style>
  <w:style w:type="paragraph" w:customStyle="1" w:styleId="xl72">
    <w:name w:val="xl72"/>
    <w:basedOn w:val="Normal"/>
    <w:uiPriority w:val="99"/>
    <w:rsid w:val="002E75D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rebuchet MS" w:hAnsi="Trebuchet MS"/>
      <w:b/>
      <w:bCs/>
      <w:sz w:val="18"/>
      <w:szCs w:val="18"/>
    </w:rPr>
  </w:style>
  <w:style w:type="paragraph" w:customStyle="1" w:styleId="xl73">
    <w:name w:val="xl73"/>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b/>
      <w:bCs/>
      <w:sz w:val="18"/>
      <w:szCs w:val="18"/>
    </w:rPr>
  </w:style>
  <w:style w:type="paragraph" w:customStyle="1" w:styleId="xl74">
    <w:name w:val="xl74"/>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b/>
      <w:bCs/>
      <w:sz w:val="18"/>
      <w:szCs w:val="18"/>
    </w:rPr>
  </w:style>
  <w:style w:type="paragraph" w:customStyle="1" w:styleId="xl75">
    <w:name w:val="xl75"/>
    <w:basedOn w:val="Normal"/>
    <w:uiPriority w:val="99"/>
    <w:rsid w:val="002E75D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b/>
      <w:bCs/>
      <w:sz w:val="18"/>
      <w:szCs w:val="18"/>
    </w:rPr>
  </w:style>
  <w:style w:type="paragraph" w:customStyle="1" w:styleId="xl76">
    <w:name w:val="xl76"/>
    <w:basedOn w:val="Normal"/>
    <w:uiPriority w:val="99"/>
    <w:rsid w:val="002E75D5"/>
    <w:pPr>
      <w:pBdr>
        <w:left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uiPriority w:val="99"/>
    <w:rsid w:val="002E75D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uiPriority w:val="99"/>
    <w:rsid w:val="002E75D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sz w:val="18"/>
      <w:szCs w:val="18"/>
    </w:rPr>
  </w:style>
  <w:style w:type="paragraph" w:customStyle="1" w:styleId="xl79">
    <w:name w:val="xl79"/>
    <w:basedOn w:val="Normal"/>
    <w:uiPriority w:val="99"/>
    <w:rsid w:val="002E75D5"/>
    <w:pPr>
      <w:pBdr>
        <w:left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sz w:val="18"/>
      <w:szCs w:val="18"/>
    </w:rPr>
  </w:style>
  <w:style w:type="paragraph" w:customStyle="1" w:styleId="xl80">
    <w:name w:val="xl80"/>
    <w:basedOn w:val="Normal"/>
    <w:uiPriority w:val="99"/>
    <w:rsid w:val="002E75D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rebuchet MS" w:hAnsi="Trebuchet MS"/>
      <w:b/>
      <w:bCs/>
      <w:sz w:val="18"/>
      <w:szCs w:val="18"/>
    </w:rPr>
  </w:style>
</w:styles>
</file>

<file path=word/webSettings.xml><?xml version="1.0" encoding="utf-8"?>
<w:webSettings xmlns:r="http://schemas.openxmlformats.org/officeDocument/2006/relationships" xmlns:w="http://schemas.openxmlformats.org/wordprocessingml/2006/main">
  <w:divs>
    <w:div w:id="140942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E055F1D63663B62F97FCEC5153EC2D348F7C76C2589EEB117B4EA57BBF292C16FA53EBF3903E9B3C5892WAt1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8512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Buhg10</dc:creator>
  <cp:keywords/>
  <dc:description/>
  <cp:lastModifiedBy>Пользователь</cp:lastModifiedBy>
  <cp:revision>2</cp:revision>
  <cp:lastPrinted>2019-12-04T15:51:00Z</cp:lastPrinted>
  <dcterms:created xsi:type="dcterms:W3CDTF">2019-12-16T12:02:00Z</dcterms:created>
  <dcterms:modified xsi:type="dcterms:W3CDTF">2019-12-16T12:02:00Z</dcterms:modified>
</cp:coreProperties>
</file>